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C71E" w14:textId="77777777" w:rsidR="00D25B48" w:rsidRDefault="00D25B4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C8B0A0" w14:textId="77777777" w:rsidR="00D25B48" w:rsidRDefault="00F639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PRILOG 3. Ciljevi LRS LAG-a, uključujući dodanu vrijednost</w:t>
      </w:r>
    </w:p>
    <w:p w14:paraId="6C2CC516" w14:textId="77777777" w:rsidR="00D25B48" w:rsidRDefault="00F639C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Sadržaj</w:t>
      </w:r>
    </w:p>
    <w:sdt>
      <w:sdtPr>
        <w:id w:val="858471586"/>
        <w:docPartObj>
          <w:docPartGallery w:val="Table of Contents"/>
          <w:docPartUnique/>
        </w:docPartObj>
      </w:sdtPr>
      <w:sdtEndPr/>
      <w:sdtContent>
        <w:p w14:paraId="0C91CA77" w14:textId="77777777" w:rsidR="00D25B48" w:rsidRDefault="00F639C5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nsskvyylc8kd">
            <w:r>
              <w:rPr>
                <w:rFonts w:ascii="Times New Roman" w:eastAsia="Times New Roman" w:hAnsi="Times New Roman" w:cs="Times New Roman"/>
                <w:color w:val="000000"/>
              </w:rPr>
              <w:t>Opći i specifični ciljevi LRS LAG-a „MORE 249“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2</w:t>
            </w:r>
          </w:hyperlink>
        </w:p>
        <w:p w14:paraId="5010F93E" w14:textId="77777777" w:rsidR="00D25B48" w:rsidRDefault="00F639C5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heading=h.xd5q0wh5221">
            <w:r>
              <w:rPr>
                <w:rFonts w:ascii="Times New Roman" w:eastAsia="Times New Roman" w:hAnsi="Times New Roman" w:cs="Times New Roman"/>
                <w:color w:val="000000"/>
              </w:rPr>
              <w:t>Opći cilj LRS, Specifični cilj LRS, Potrebe, Intervencije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5</w:t>
            </w:r>
          </w:hyperlink>
        </w:p>
        <w:p w14:paraId="36369A56" w14:textId="77777777" w:rsidR="00D25B48" w:rsidRDefault="00F639C5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heading=h.9itkic7xusjl">
            <w:r>
              <w:rPr>
                <w:rFonts w:ascii="Times New Roman" w:eastAsia="Times New Roman" w:hAnsi="Times New Roman" w:cs="Times New Roman"/>
                <w:color w:val="000000"/>
              </w:rPr>
              <w:t>Pregled Općih i Specifičnih ciljeva LRS-a „LAG-a „More 249“ u odnosu na ciljeve SP ZPP-a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6</w:t>
            </w:r>
          </w:hyperlink>
        </w:p>
        <w:p w14:paraId="67CBB4C6" w14:textId="77777777" w:rsidR="00D25B48" w:rsidRDefault="00F639C5">
          <w:pPr>
            <w:widowControl w:val="0"/>
            <w:tabs>
              <w:tab w:val="right" w:leader="do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</w:rPr>
          </w:pPr>
          <w:hyperlink w:anchor="_heading=h.katuobm5bfzm">
            <w:r>
              <w:rPr>
                <w:rFonts w:ascii="Times New Roman" w:eastAsia="Times New Roman" w:hAnsi="Times New Roman" w:cs="Times New Roman"/>
                <w:color w:val="000000"/>
              </w:rPr>
              <w:t>Prikaz kriterija na temelju kojih projekti iz intervencije doprinose provedbi koncepta Pametnih sela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6</w:t>
            </w:r>
          </w:hyperlink>
          <w:r>
            <w:fldChar w:fldCharType="end"/>
          </w:r>
        </w:p>
      </w:sdtContent>
    </w:sdt>
    <w:p w14:paraId="0CE3007A" w14:textId="77777777" w:rsidR="00D25B48" w:rsidRDefault="00D25B4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5F50D" w14:textId="77777777" w:rsidR="00D25B48" w:rsidRDefault="00F639C5">
      <w:pPr>
        <w:rPr>
          <w:rFonts w:ascii="Times New Roman" w:eastAsia="Times New Roman" w:hAnsi="Times New Roman" w:cs="Times New Roman"/>
          <w:color w:val="2F5496"/>
          <w:sz w:val="32"/>
          <w:szCs w:val="32"/>
        </w:rPr>
      </w:pPr>
      <w:r>
        <w:br w:type="page"/>
      </w:r>
    </w:p>
    <w:p w14:paraId="42E6DE6C" w14:textId="77777777" w:rsidR="00D25B48" w:rsidRDefault="00D25B48">
      <w:pPr>
        <w:pStyle w:val="Heading2"/>
        <w:rPr>
          <w:rFonts w:ascii="Times New Roman" w:eastAsia="Times New Roman" w:hAnsi="Times New Roman" w:cs="Times New Roman"/>
        </w:rPr>
      </w:pPr>
    </w:p>
    <w:p w14:paraId="2DEFA1E3" w14:textId="77777777" w:rsidR="00D25B48" w:rsidRDefault="00F639C5">
      <w:pPr>
        <w:pStyle w:val="Heading2"/>
        <w:rPr>
          <w:rFonts w:ascii="Times New Roman" w:eastAsia="Times New Roman" w:hAnsi="Times New Roman" w:cs="Times New Roman"/>
        </w:rPr>
      </w:pPr>
      <w:bookmarkStart w:id="0" w:name="_heading=h.nsskvyylc8kd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Opći i specifični ciljevi LRS LAG-a „MORE 249“</w:t>
      </w:r>
    </w:p>
    <w:p w14:paraId="5D225456" w14:textId="77777777" w:rsidR="00D25B48" w:rsidRDefault="00D25B48">
      <w:pPr>
        <w:keepNext/>
        <w:keepLines/>
        <w:spacing w:before="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3260"/>
        <w:gridCol w:w="1728"/>
        <w:gridCol w:w="2669"/>
      </w:tblGrid>
      <w:tr w:rsidR="00D25B48" w14:paraId="611575EA" w14:textId="77777777">
        <w:trPr>
          <w:trHeight w:val="19"/>
        </w:trPr>
        <w:tc>
          <w:tcPr>
            <w:tcW w:w="1418" w:type="dxa"/>
            <w:shd w:val="clear" w:color="auto" w:fill="B4C6E7"/>
          </w:tcPr>
          <w:p w14:paraId="090A3D0A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eading=h.5yln4uu25koe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Naziv općeg cilja</w:t>
            </w:r>
          </w:p>
        </w:tc>
        <w:tc>
          <w:tcPr>
            <w:tcW w:w="3260" w:type="dxa"/>
            <w:shd w:val="clear" w:color="auto" w:fill="B4C6E7"/>
          </w:tcPr>
          <w:p w14:paraId="68D45B48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Kratki opis općeg cilja</w:t>
            </w:r>
          </w:p>
        </w:tc>
        <w:tc>
          <w:tcPr>
            <w:tcW w:w="1728" w:type="dxa"/>
            <w:shd w:val="clear" w:color="auto" w:fill="B4C6E7"/>
          </w:tcPr>
          <w:p w14:paraId="35BED144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Naziv specifičnog cilja</w:t>
            </w:r>
          </w:p>
        </w:tc>
        <w:tc>
          <w:tcPr>
            <w:tcW w:w="2669" w:type="dxa"/>
            <w:shd w:val="clear" w:color="auto" w:fill="B4C6E7"/>
          </w:tcPr>
          <w:p w14:paraId="746EFE0F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Kratki opis specifičnog cilja</w:t>
            </w:r>
          </w:p>
        </w:tc>
      </w:tr>
      <w:tr w:rsidR="00D25B48" w14:paraId="6DB2297F" w14:textId="77777777">
        <w:trPr>
          <w:trHeight w:val="19"/>
        </w:trPr>
        <w:tc>
          <w:tcPr>
            <w:tcW w:w="1418" w:type="dxa"/>
            <w:shd w:val="clear" w:color="auto" w:fill="E2EFD9"/>
            <w:vAlign w:val="center"/>
          </w:tcPr>
          <w:p w14:paraId="0F598494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 1. Poticanje rasta, razvoja i zapošljavanja u sektoru poljoprivrede</w:t>
            </w:r>
          </w:p>
        </w:tc>
        <w:tc>
          <w:tcPr>
            <w:tcW w:w="3260" w:type="dxa"/>
            <w:shd w:val="clear" w:color="auto" w:fill="E2EFD9"/>
            <w:vAlign w:val="center"/>
          </w:tcPr>
          <w:p w14:paraId="783FCAD3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PG-ovi trebaju iskorak na tržište kroz potpore ulaganja u novu, moderniju opremu s ciljem poboljšanja i povećanja prinosa, ali i stvaranja preduvjeta za razvoj postojećih djelatnosti. U budućem razdoblju upravo „profesionalizacija“ poljoprivrednika trebala bi potaknuti unaprjeđenje i rast poljoprivrednih gospodarstava i stvoriti preduvjete kako bi se  zadržalo postojeće ili stvorilo novo radno mjesto.</w:t>
            </w:r>
          </w:p>
        </w:tc>
        <w:tc>
          <w:tcPr>
            <w:tcW w:w="1728" w:type="dxa"/>
            <w:shd w:val="clear" w:color="auto" w:fill="E2EFD9"/>
            <w:vAlign w:val="center"/>
          </w:tcPr>
          <w:p w14:paraId="4254EF2C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 1.1. Povećanje konkurentnosti i održivosti uz modernizaciju i razvoj  postojećih usluga  na poljoprivrednom gospodarstvu</w:t>
            </w:r>
          </w:p>
        </w:tc>
        <w:tc>
          <w:tcPr>
            <w:tcW w:w="2669" w:type="dxa"/>
            <w:shd w:val="clear" w:color="auto" w:fill="E2EFD9"/>
            <w:vAlign w:val="center"/>
          </w:tcPr>
          <w:p w14:paraId="4F6841D3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Osim profesionalizacije u svim oblicima važno je potaknuti poljoprivrednike na uvođenje modernih i tehnološki naprednih alata i opreme u proizvodnji te razvijanje djelatnosti radi postizanja ravnoteže. S obzirom na to da zapošljavanje ovisi o puno faktora, ostvarenjem specifičnog cilj omogućit će se veći učinak usporedno s ili bez porasta broja zaposlenih.</w:t>
            </w:r>
          </w:p>
        </w:tc>
      </w:tr>
      <w:tr w:rsidR="00D25B48" w14:paraId="0B68C250" w14:textId="77777777">
        <w:trPr>
          <w:trHeight w:val="19"/>
        </w:trPr>
        <w:tc>
          <w:tcPr>
            <w:tcW w:w="1418" w:type="dxa"/>
            <w:vMerge w:val="restart"/>
            <w:vAlign w:val="center"/>
          </w:tcPr>
          <w:p w14:paraId="66EED1EA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 2.  Povećanje atraktivnosti ruralnog prostora kroz raznolikost sadržaja i promociju kulturne baštine i gastronomije</w:t>
            </w:r>
          </w:p>
        </w:tc>
        <w:tc>
          <w:tcPr>
            <w:tcW w:w="3260" w:type="dxa"/>
            <w:vMerge w:val="restart"/>
            <w:vAlign w:val="center"/>
          </w:tcPr>
          <w:p w14:paraId="72F7E3AF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Funkcionalnost i pristupačnost društvene i turističke infrastrukture lokanom stanovništvu, kao i posjetiteljima i turistima važno je oplemenjivati  kroz povećanje dostupnosti i kvalitete različitih sadržaja.</w:t>
            </w:r>
          </w:p>
          <w:p w14:paraId="2AE69D12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Kako bi vrijedni proizvodi i sam ruralni prostor imao mogućnosti bolje prodaje i bolje posječenosti te stvarao veću vrijednost i prihode ljudima koji na njemu žive, potrebno je promovirati lokalnu gastronomiju, ali i kulturnu baštinu te kako je ranije naglašeno iste poticati tokom cijele sezone. Isto bi omogućilo da se osim manifestacija koje se odvijaju ljeti, manifestacijama izvan sezone pridonese proširenju turističke sezone.</w:t>
            </w:r>
          </w:p>
        </w:tc>
        <w:tc>
          <w:tcPr>
            <w:tcW w:w="1728" w:type="dxa"/>
            <w:vAlign w:val="center"/>
          </w:tcPr>
          <w:p w14:paraId="6C2495FA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 2.1. Unapređenje ruralne infrastrukture</w:t>
            </w:r>
          </w:p>
        </w:tc>
        <w:tc>
          <w:tcPr>
            <w:tcW w:w="2669" w:type="dxa"/>
            <w:vAlign w:val="center"/>
          </w:tcPr>
          <w:p w14:paraId="529A7AE0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Veći broj različitih sadržaja i dostupne javne infrastrukture s iskorištenim potencijalom povećat će atraktivnost ruralnog prostora.</w:t>
            </w:r>
          </w:p>
        </w:tc>
      </w:tr>
      <w:tr w:rsidR="00D25B48" w14:paraId="25D34A90" w14:textId="77777777">
        <w:trPr>
          <w:trHeight w:val="19"/>
        </w:trPr>
        <w:tc>
          <w:tcPr>
            <w:tcW w:w="1418" w:type="dxa"/>
            <w:vMerge/>
            <w:vAlign w:val="center"/>
          </w:tcPr>
          <w:p w14:paraId="4CF32FDC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287FD8A0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14:paraId="4BA63376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 3.1. Jačanje identiteta i promocija LAG područja</w:t>
            </w:r>
          </w:p>
        </w:tc>
        <w:tc>
          <w:tcPr>
            <w:tcW w:w="2669" w:type="dxa"/>
            <w:vAlign w:val="center"/>
          </w:tcPr>
          <w:p w14:paraId="42111EB1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Većim brojem manifestacija i promocijom kulturne baštine ruralnog prostora kroz nabavku moderne opreme omogućit će se sinergijski učinak s proizvodnjom na prostoru LAG-a „More249“.</w:t>
            </w:r>
          </w:p>
        </w:tc>
      </w:tr>
    </w:tbl>
    <w:p w14:paraId="35E03D1F" w14:textId="77777777" w:rsidR="00D25B48" w:rsidRDefault="00D25B4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ib6lr6fg5pub" w:colFirst="0" w:colLast="0"/>
      <w:bookmarkEnd w:id="2"/>
    </w:p>
    <w:p w14:paraId="76959AB0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Postavljena su dva opća cilja u okviru kojih imamo tri specifična cilja. Opći ciljevi usklađeni su sa strateškim ciljevima Zajedničke poljoprivredne politike.</w:t>
      </w:r>
    </w:p>
    <w:p w14:paraId="645C3644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 1. Poticanje rasta, razvoja i zapošljavanja u sektoru poljoprivrede</w:t>
      </w:r>
    </w:p>
    <w:p w14:paraId="409AB0EF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Ovim općim ciljem LAG „More 249“ želi doprinijeti horizontalnom (međusektorskom) cilju ZPP-a. Veliki broj poljoprivrednih gospodarstava na LAG području s izraženom starosnom strukturom ukazuje na potrebu za modernizacijom, ulaganjem u digitalizaciju i razvoj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postojećih usluga čime bi se osigurala stabilnost dohotka i zadržavanje postojećih i/ili novih radnih mjesta. Osim većeg broja malih poljoprivrednih gospodarstava, prisutan je određen broj srednjih i velikih gospodarstva koji su spremniji na inovacije i digitalizaciju u poljoprivredi. </w:t>
      </w:r>
    </w:p>
    <w:p w14:paraId="09829FB0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cilj je mjerljiv brojem očuvanih i novostvorenih radnih mjesta te povećanom ekonomskom veličinom PG-a što će ujedno biti postavljeno kroz kriterije za bodovanje.</w:t>
      </w:r>
    </w:p>
    <w:p w14:paraId="7334D4C3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 ovaj opći cilj kao specifičan cilj postavljen je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 1.1.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Povećanje konkurentnosti i održivosti uz modernizaciju i razvoj  postojećih usluga  na poljoprivrednom gospodarstvu.</w:t>
      </w:r>
    </w:p>
    <w:p w14:paraId="4CD33506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Osim zapošljavanja, smatra se da je važno da poljoprivrednici ulažu u moderne alate i opremu u proizvodnji. Tako bi se zadovoljavanjem ovog specifičnog cilja stvorili preduvjeti za brži razvoj i održive prihode. Ovdje se osim modernizacije, naglašava moguće postavljanje kriterija kojima se dosežu i horizontalni ciljevi Strateškog plana Zajedničke poljoprivredne politike Republike Hrvatske, a to je digitalizacija. Upravo za isto je istaknut interes poljoprivrednika naročito onih mlađih, na radionicama za izradu ove LRS. Uz samo moderniziranje važno je razvijati postojeće usluge na poljoprivrednim gospodarstvima. </w:t>
      </w:r>
    </w:p>
    <w:p w14:paraId="5DA60E81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 2.  Povećanje atraktivnosti ruralnog prostora kroz raznolikost sadržaja i promociju kulturne baštine i gastronomije</w:t>
      </w:r>
    </w:p>
    <w:p w14:paraId="46875736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Općim ciljem 2. želi se doprinijeti razvoju ruralnog prostora, njegovoj atraktivnosti, boljoj prepoznatljivosti i jačanju identiteta područja. Kako bi se povećala dostupnost sadržaja, potrebno je unaprijediti društvenu i turističku infrastrukturu, kao i urediti javne zelene površine i drugi sadržaj koji bi bio dostupan lokalnom stanovništvu. Osim toga, potrebno je jače djelovati na svijest i brigu lokalnog stanovništvo, upoznati ih s kulturnom baštinom, tradicijom i gastronomijom te različitim tematskim aktivnostima djelovati na produženje turističke sezone. </w:t>
      </w:r>
    </w:p>
    <w:p w14:paraId="51297F1E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opći cilj prate dva specifična cilja:</w:t>
      </w:r>
    </w:p>
    <w:p w14:paraId="3FFE8D32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SC 2. Unapređenje ruralne infrastrukture </w:t>
      </w:r>
      <w:r>
        <w:rPr>
          <w:rFonts w:ascii="Times New Roman" w:eastAsia="Times New Roman" w:hAnsi="Times New Roman" w:cs="Times New Roman"/>
          <w:sz w:val="24"/>
          <w:szCs w:val="24"/>
        </w:rPr>
        <w:t>odnosi se na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stvaranje boljih uvjeta života lokalnog stanovništva u vidu unapređenja infrastrukture koja zadovoljava njihove potrebe i osigurava bolju kvalitetu života. </w:t>
      </w:r>
    </w:p>
    <w:p w14:paraId="237B9533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SC 3. Jačanje identiteta i promocija LAG područja</w:t>
      </w:r>
    </w:p>
    <w:p w14:paraId="57179DCB" w14:textId="77777777" w:rsidR="00D25B48" w:rsidRDefault="00F63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Većim brojem manifestacija i promocijom kulturne baštine ruralnog prostora omogućit će se sinergijski učinak s proizvodnjom na prostoru LAG-a „More249“. Stoga bi se mjerio broj manifestacija, ali i njihova dužina, periodičnost kako bi se potaklo stalne sadržaje na području. </w:t>
      </w:r>
    </w:p>
    <w:p w14:paraId="400D4D89" w14:textId="77777777" w:rsidR="00D25B48" w:rsidRDefault="00F639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dttt5quh5xn0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Kombinacijom dva opća cilja te tri specifična cilja LAG jasno i konkretno usmjerava svoj rad  na zadovoljavanje ključnih potreba na svom području. U odnosu na dostupna sredstva za LAG omogućit će se jača usmjerenost i mjerljivi rezultati.</w:t>
      </w:r>
    </w:p>
    <w:p w14:paraId="596463F9" w14:textId="77777777" w:rsidR="00D25B48" w:rsidRDefault="00D25B48">
      <w:pPr>
        <w:rPr>
          <w:rFonts w:ascii="Times New Roman" w:eastAsia="Times New Roman" w:hAnsi="Times New Roman" w:cs="Times New Roman"/>
          <w:i/>
        </w:rPr>
      </w:pPr>
    </w:p>
    <w:p w14:paraId="1B4A91B2" w14:textId="233A8792" w:rsidR="00D25B48" w:rsidRDefault="00F639C5">
      <w:pPr>
        <w:shd w:val="clear" w:color="auto" w:fill="E2EFD9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Kroz sve intervencije putem LAG natječaja postavit će se kriteriji bodovanja koji će biti usmjereni doprinosu koncepta „Pametna sela“ te će se dodatno bodovati projekti koji uključuju inovativnost, digitalizaciju i usmjereni su na ublažavanje klimatskih promjena i zaštitu okoliša.</w:t>
      </w:r>
    </w:p>
    <w:p w14:paraId="16C40A25" w14:textId="77777777" w:rsidR="00D25B48" w:rsidRDefault="00D25B48">
      <w:pPr>
        <w:jc w:val="both"/>
        <w:rPr>
          <w:rFonts w:ascii="Times New Roman" w:eastAsia="Times New Roman" w:hAnsi="Times New Roman" w:cs="Times New Roman"/>
          <w:b/>
        </w:rPr>
      </w:pPr>
    </w:p>
    <w:p w14:paraId="79C5F4EB" w14:textId="77777777" w:rsidR="00D25B48" w:rsidRDefault="00D25B48">
      <w:pPr>
        <w:jc w:val="both"/>
        <w:rPr>
          <w:rFonts w:ascii="Times New Roman" w:eastAsia="Times New Roman" w:hAnsi="Times New Roman" w:cs="Times New Roman"/>
          <w:b/>
        </w:rPr>
      </w:pPr>
    </w:p>
    <w:p w14:paraId="337A97C5" w14:textId="77777777" w:rsidR="00075713" w:rsidRDefault="00075713">
      <w:pPr>
        <w:jc w:val="both"/>
        <w:rPr>
          <w:rFonts w:ascii="Times New Roman" w:eastAsia="Times New Roman" w:hAnsi="Times New Roman" w:cs="Times New Roman"/>
          <w:b/>
        </w:rPr>
      </w:pPr>
    </w:p>
    <w:p w14:paraId="55BBC2F7" w14:textId="77777777" w:rsidR="00075713" w:rsidRDefault="00075713">
      <w:pPr>
        <w:jc w:val="both"/>
        <w:rPr>
          <w:rFonts w:ascii="Times New Roman" w:eastAsia="Times New Roman" w:hAnsi="Times New Roman" w:cs="Times New Roman"/>
          <w:b/>
        </w:rPr>
      </w:pPr>
    </w:p>
    <w:p w14:paraId="3A51E683" w14:textId="1C80B31B" w:rsidR="00D25B48" w:rsidRDefault="00F639C5">
      <w:pPr>
        <w:shd w:val="clear" w:color="auto" w:fill="E2EFD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Cilj LRS LAG-a „More 249“ i dodane vrijednosti koji se odnose na intervenciju 1.</w:t>
      </w:r>
      <w:r w:rsidR="00EB53A4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.1. </w:t>
      </w:r>
      <w:r w:rsidR="00EB53A4" w:rsidRPr="00435B8C">
        <w:rPr>
          <w:rFonts w:ascii="Times New Roman" w:eastAsia="Times New Roman" w:hAnsi="Times New Roman" w:cs="Times New Roman"/>
          <w:b/>
          <w:bCs/>
        </w:rPr>
        <w:t>Razvoj dodatnih usluga na poljoprivrednom gospodarstvu</w:t>
      </w:r>
    </w:p>
    <w:p w14:paraId="5DE46AAE" w14:textId="77777777" w:rsidR="00EB53A4" w:rsidRPr="00435B8C" w:rsidRDefault="00F639C5" w:rsidP="00EB53A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Intervencija odgovara na potrebu P 1 Osiguranje održivog dohotka koju su istakli dionici iz svih sektora prilikom izrade LRS-a, a naročito kroz izradu SWOT analize. </w:t>
      </w:r>
      <w:r w:rsidR="00EB53A4" w:rsidRPr="00435B8C">
        <w:rPr>
          <w:rFonts w:ascii="Times New Roman" w:hAnsi="Times New Roman" w:cs="Times New Roman"/>
        </w:rPr>
        <w:t xml:space="preserve">Intervencija je namijenjena onim </w:t>
      </w:r>
      <w:bookmarkStart w:id="4" w:name="_Hlk192838747"/>
      <w:r w:rsidR="00EB53A4" w:rsidRPr="00435B8C">
        <w:rPr>
          <w:rFonts w:ascii="Times New Roman" w:hAnsi="Times New Roman" w:cs="Times New Roman"/>
        </w:rPr>
        <w:t>poljoprivrednim gospodarstvima koj</w:t>
      </w:r>
      <w:r w:rsidR="00EB53A4">
        <w:rPr>
          <w:rFonts w:ascii="Times New Roman" w:hAnsi="Times New Roman" w:cs="Times New Roman"/>
        </w:rPr>
        <w:t>a</w:t>
      </w:r>
      <w:r w:rsidR="00EB53A4" w:rsidRPr="00435B8C">
        <w:rPr>
          <w:rFonts w:ascii="Times New Roman" w:hAnsi="Times New Roman" w:cs="Times New Roman"/>
        </w:rPr>
        <w:t xml:space="preserve"> imaju registrirane dopunske/nepoljoprivredne djelatnosti i žele ih dodatno razvijati. </w:t>
      </w:r>
      <w:bookmarkEnd w:id="4"/>
      <w:r w:rsidR="00EB53A4" w:rsidRPr="00435B8C">
        <w:rPr>
          <w:rFonts w:ascii="Times New Roman" w:hAnsi="Times New Roman" w:cs="Times New Roman"/>
        </w:rPr>
        <w:t xml:space="preserve">Intervencija doprinosi </w:t>
      </w:r>
      <w:r w:rsidR="00EB53A4" w:rsidRPr="00B91429">
        <w:rPr>
          <w:rFonts w:ascii="Times New Roman" w:hAnsi="Times New Roman" w:cs="Times New Roman"/>
          <w:b/>
          <w:bCs/>
        </w:rPr>
        <w:t>Opć</w:t>
      </w:r>
      <w:r w:rsidR="00EB53A4" w:rsidRPr="00435B8C">
        <w:rPr>
          <w:rFonts w:ascii="Times New Roman" w:hAnsi="Times New Roman" w:cs="Times New Roman"/>
          <w:b/>
          <w:bCs/>
        </w:rPr>
        <w:t>em cilju 1</w:t>
      </w:r>
      <w:r w:rsidR="00EB53A4">
        <w:rPr>
          <w:rFonts w:ascii="Times New Roman" w:hAnsi="Times New Roman" w:cs="Times New Roman"/>
          <w:b/>
          <w:bCs/>
        </w:rPr>
        <w:t>.</w:t>
      </w:r>
      <w:r w:rsidR="00EB53A4" w:rsidRPr="00435B8C">
        <w:rPr>
          <w:rFonts w:ascii="Times New Roman" w:hAnsi="Times New Roman" w:cs="Times New Roman"/>
          <w:b/>
          <w:bCs/>
        </w:rPr>
        <w:t xml:space="preserve"> Poticanje rasta, razvoja i zapošljavanja u sektoru poljoprivrede.</w:t>
      </w:r>
    </w:p>
    <w:p w14:paraId="1EDD8A7A" w14:textId="77777777" w:rsidR="00EB53A4" w:rsidRPr="001A6CA0" w:rsidRDefault="00EB53A4" w:rsidP="00EB53A4">
      <w:pPr>
        <w:jc w:val="both"/>
        <w:rPr>
          <w:rFonts w:ascii="Times New Roman" w:hAnsi="Times New Roman" w:cs="Times New Roman"/>
        </w:rPr>
      </w:pPr>
      <w:r w:rsidRPr="00435B8C">
        <w:rPr>
          <w:rFonts w:ascii="Times New Roman" w:hAnsi="Times New Roman" w:cs="Times New Roman"/>
        </w:rPr>
        <w:t>Obrazloženje: Dionici izrade LRS</w:t>
      </w:r>
      <w:r>
        <w:rPr>
          <w:rFonts w:ascii="Times New Roman" w:hAnsi="Times New Roman" w:cs="Times New Roman"/>
        </w:rPr>
        <w:t>-a</w:t>
      </w:r>
      <w:r w:rsidRPr="00435B8C">
        <w:rPr>
          <w:rFonts w:ascii="Times New Roman" w:hAnsi="Times New Roman" w:cs="Times New Roman"/>
        </w:rPr>
        <w:t xml:space="preserve"> smatraju da razvoj usluga na poljoprivrednim gospodarstvima dovodi do više mogućnosti stvaranja novih radnih mjesta, rasta i razvoja samih poljoprivrednih gospodarstava. Diverzifikacijom poljoprivredne proizvodnje postižu se stabilniji i sigurniji prihodi te potiče zadržavanje i stvaranje novih radnih mjesta. </w:t>
      </w:r>
    </w:p>
    <w:p w14:paraId="34162810" w14:textId="77777777" w:rsidR="00EB53A4" w:rsidRPr="00435B8C" w:rsidRDefault="00EB53A4" w:rsidP="00EB53A4">
      <w:pPr>
        <w:jc w:val="both"/>
        <w:rPr>
          <w:rFonts w:ascii="Times New Roman" w:hAnsi="Times New Roman" w:cs="Times New Roman"/>
        </w:rPr>
      </w:pPr>
      <w:r w:rsidRPr="00435B8C">
        <w:rPr>
          <w:rFonts w:ascii="Times New Roman" w:hAnsi="Times New Roman" w:cs="Times New Roman"/>
        </w:rPr>
        <w:t xml:space="preserve">Specifični cilj ove intervencije je: </w:t>
      </w:r>
      <w:r w:rsidRPr="00435B8C">
        <w:rPr>
          <w:rFonts w:ascii="Times New Roman" w:hAnsi="Times New Roman" w:cs="Times New Roman"/>
          <w:b/>
          <w:bCs/>
        </w:rPr>
        <w:t>Povećanje konkurentnosti i održivosti uz modernizaciju i razvoj postojećih usluga poljoprivrednih gospodarstava.</w:t>
      </w:r>
    </w:p>
    <w:p w14:paraId="7417EB83" w14:textId="28216DE3" w:rsidR="00EB53A4" w:rsidRPr="00915930" w:rsidRDefault="00F639C5" w:rsidP="00EB53A4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Obrazloženje:</w:t>
      </w:r>
      <w:r w:rsidR="00EB53A4">
        <w:rPr>
          <w:rFonts w:ascii="Times New Roman" w:eastAsia="Times New Roman" w:hAnsi="Times New Roman" w:cs="Times New Roman"/>
        </w:rPr>
        <w:t xml:space="preserve"> </w:t>
      </w:r>
      <w:r w:rsidR="00EB53A4" w:rsidRPr="00915930">
        <w:rPr>
          <w:rFonts w:ascii="Times New Roman" w:hAnsi="Times New Roman" w:cs="Times New Roman"/>
        </w:rPr>
        <w:t>Na području LAG-a, zapošljavanje na obiteljskim poljoprivrednim gospodarstvima najviše je prisutno na gospodarstvima koja razvijaju nepoljoprivredne djelatnosti, osobito turizam i ugostiteljstvo. Ove djelatnosti osiguravaju opstanak mladih u ruralnim područjima, jer povećavaju ukupnu zaradu i dohodak u malim sredinama, prilagođavaju se potrebama kupaca i posjetitelja te stvaraju osnovu za daljnji razvoj i rast. Razvoj turizma na OPG-u omogućava sinergiju između poljoprivredne proizvodnje, kulturne baštine, povijesnih lokaliteta i autentičnog života na selu, čime se čuva tradicija i običaji, te poboljšava kvaliteta života svih stanovnika na tom području.</w:t>
      </w:r>
    </w:p>
    <w:p w14:paraId="4370A152" w14:textId="77777777" w:rsidR="00EB53A4" w:rsidRPr="00915930" w:rsidRDefault="00EB53A4" w:rsidP="00EB53A4">
      <w:pPr>
        <w:jc w:val="both"/>
        <w:rPr>
          <w:rFonts w:ascii="Times New Roman" w:hAnsi="Times New Roman" w:cs="Times New Roman"/>
        </w:rPr>
      </w:pPr>
      <w:r w:rsidRPr="00915930">
        <w:rPr>
          <w:rFonts w:ascii="Times New Roman" w:hAnsi="Times New Roman" w:cs="Times New Roman"/>
        </w:rPr>
        <w:t xml:space="preserve">Jedno od najvećih ograničenja s kojima se poljoprivrednici susreću je početni kapital potreban za provedbu diversifikacije proizvodnje. Na OPG-u je moguće istovremeno obavljati primarnu proizvodnju i razvijati dodatne djelatnosti, što poljoprivrednicima omogućuje bolji prihod i veću nezavisnost. Osim turizma i ugostiteljstva, ovom intervencijom poticat će se i razvoj drugih dopunskih djelatnosti na OPG-ima, u skladu s Pravilnikom o </w:t>
      </w:r>
      <w:r>
        <w:rPr>
          <w:rFonts w:ascii="Times New Roman" w:hAnsi="Times New Roman" w:cs="Times New Roman"/>
        </w:rPr>
        <w:t>Upisniku obiteljskih poljoprivrednih gospodarstava</w:t>
      </w:r>
      <w:r w:rsidRPr="00915930">
        <w:rPr>
          <w:rFonts w:ascii="Times New Roman" w:hAnsi="Times New Roman" w:cs="Times New Roman"/>
        </w:rPr>
        <w:t xml:space="preserve"> (NN </w:t>
      </w:r>
      <w:r>
        <w:rPr>
          <w:rFonts w:ascii="Times New Roman" w:hAnsi="Times New Roman" w:cs="Times New Roman"/>
        </w:rPr>
        <w:t>80</w:t>
      </w:r>
      <w:r w:rsidRPr="00915930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023</w:t>
      </w:r>
      <w:r w:rsidRPr="00915930">
        <w:rPr>
          <w:rFonts w:ascii="Times New Roman" w:hAnsi="Times New Roman" w:cs="Times New Roman"/>
        </w:rPr>
        <w:t>) i svim izmjenama koje će biti na snazi u trenutku provedbe projekta.</w:t>
      </w:r>
    </w:p>
    <w:p w14:paraId="52E9AD84" w14:textId="77777777" w:rsidR="00EB53A4" w:rsidRDefault="00EB53A4" w:rsidP="00EB53A4">
      <w:pPr>
        <w:jc w:val="both"/>
        <w:rPr>
          <w:rFonts w:ascii="Times New Roman" w:hAnsi="Times New Roman" w:cs="Times New Roman"/>
        </w:rPr>
      </w:pPr>
    </w:p>
    <w:p w14:paraId="57F0CA70" w14:textId="4379FB4C" w:rsidR="00EB53A4" w:rsidRPr="00EB53A4" w:rsidRDefault="00F639C5" w:rsidP="00EB53A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Dodatna vrijednost intervencije 1</w:t>
      </w:r>
      <w:r w:rsidR="00EB53A4">
        <w:rPr>
          <w:rFonts w:ascii="Times New Roman" w:eastAsia="Times New Roman" w:hAnsi="Times New Roman" w:cs="Times New Roman"/>
          <w:b/>
        </w:rPr>
        <w:t>.</w:t>
      </w:r>
      <w:r w:rsidR="00EB53A4" w:rsidRPr="00EB53A4">
        <w:rPr>
          <w:rFonts w:ascii="Times New Roman" w:eastAsia="Times New Roman" w:hAnsi="Times New Roman" w:cs="Times New Roman"/>
          <w:b/>
        </w:rPr>
        <w:t xml:space="preserve">2.1. </w:t>
      </w:r>
      <w:r w:rsidR="00EB53A4" w:rsidRPr="00EB53A4">
        <w:rPr>
          <w:rFonts w:ascii="Times New Roman" w:eastAsia="Times New Roman" w:hAnsi="Times New Roman" w:cs="Times New Roman"/>
          <w:b/>
          <w:bCs/>
        </w:rPr>
        <w:t>Razvoj dodatnih usluga na poljoprivrednom gospodarstvu</w:t>
      </w:r>
    </w:p>
    <w:p w14:paraId="514DA482" w14:textId="5BE6B43D" w:rsidR="00D25B48" w:rsidRDefault="00F639C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u provedbi LEADER</w:t>
      </w:r>
      <w:r>
        <w:rPr>
          <w:rFonts w:ascii="Times New Roman" w:eastAsia="Times New Roman" w:hAnsi="Times New Roman" w:cs="Times New Roman"/>
        </w:rPr>
        <w:t xml:space="preserve"> očituje se kroz sljedeće:</w:t>
      </w:r>
    </w:p>
    <w:p w14:paraId="2AAD01CB" w14:textId="77777777" w:rsidR="00D25B48" w:rsidRDefault="00F639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17" w:hanging="283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_heading=h.msn7uk4jna5" w:colFirst="0" w:colLast="0"/>
      <w:bookmarkEnd w:id="5"/>
      <w:r>
        <w:rPr>
          <w:rFonts w:ascii="Times New Roman" w:eastAsia="Times New Roman" w:hAnsi="Times New Roman" w:cs="Times New Roman"/>
          <w:color w:val="000000"/>
        </w:rPr>
        <w:t>bolje lokalno upravljanje putem lakše dostupnosti bespovratnim sredstvima, uključenosti lokalnih dionika koji su putem radionica, informiranja i anketnih upitnika sudjelovali u iskazivanju potreba i kreiranju intervencija;</w:t>
      </w:r>
    </w:p>
    <w:p w14:paraId="3273AC34" w14:textId="6B84D9AD" w:rsidR="00EB53A4" w:rsidRPr="00EB53A4" w:rsidRDefault="00F639C5" w:rsidP="00EB53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17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prilagođenosti natječaja i kriterija bodovanja specifičnostima i potrebama LAG područja; </w:t>
      </w:r>
    </w:p>
    <w:p w14:paraId="37C85013" w14:textId="77777777" w:rsidR="00EB53A4" w:rsidRPr="00EC47AC" w:rsidRDefault="00EB53A4" w:rsidP="00EB53A4">
      <w:pPr>
        <w:pStyle w:val="ListParagraph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</w:rPr>
      </w:pPr>
      <w:r w:rsidRPr="00EC47AC">
        <w:rPr>
          <w:rFonts w:ascii="Times New Roman" w:hAnsi="Times New Roman" w:cs="Times New Roman"/>
        </w:rPr>
        <w:t>prilagođenost uvjeta prihvatljivosti korisnika specifičnostima i potrebama LAG područja</w:t>
      </w:r>
    </w:p>
    <w:p w14:paraId="1AB4B748" w14:textId="77777777" w:rsidR="00EB53A4" w:rsidRDefault="00EB53A4" w:rsidP="00EB53A4">
      <w:pPr>
        <w:pStyle w:val="ListParagraph"/>
        <w:numPr>
          <w:ilvl w:val="0"/>
          <w:numId w:val="3"/>
        </w:numPr>
        <w:ind w:left="317" w:hanging="317"/>
        <w:jc w:val="both"/>
        <w:rPr>
          <w:rFonts w:ascii="Times New Roman" w:hAnsi="Times New Roman" w:cs="Times New Roman"/>
        </w:rPr>
      </w:pPr>
      <w:r w:rsidRPr="00435B8C">
        <w:rPr>
          <w:rFonts w:ascii="Times New Roman" w:hAnsi="Times New Roman" w:cs="Times New Roman"/>
        </w:rPr>
        <w:t>davanju dodatnih bodova onim projektima čije aktivnosti doprinose ranjivim skupinama te kroz projekt koriste održive materijale, recikliraju i slično.</w:t>
      </w:r>
    </w:p>
    <w:p w14:paraId="573A0C58" w14:textId="77777777" w:rsidR="00D25B48" w:rsidRDefault="00D25B48">
      <w:pPr>
        <w:rPr>
          <w:rFonts w:ascii="Times New Roman" w:eastAsia="Times New Roman" w:hAnsi="Times New Roman" w:cs="Times New Roman"/>
          <w:i/>
        </w:rPr>
      </w:pPr>
    </w:p>
    <w:p w14:paraId="2146D38D" w14:textId="77777777" w:rsidR="00EB53A4" w:rsidRDefault="00EB53A4">
      <w:pPr>
        <w:rPr>
          <w:rFonts w:ascii="Times New Roman" w:eastAsia="Times New Roman" w:hAnsi="Times New Roman" w:cs="Times New Roman"/>
          <w:i/>
        </w:rPr>
      </w:pPr>
    </w:p>
    <w:p w14:paraId="54186A84" w14:textId="77777777" w:rsidR="00EB53A4" w:rsidRDefault="00EB53A4">
      <w:pPr>
        <w:rPr>
          <w:rFonts w:ascii="Times New Roman" w:eastAsia="Times New Roman" w:hAnsi="Times New Roman" w:cs="Times New Roman"/>
          <w:i/>
        </w:rPr>
      </w:pPr>
    </w:p>
    <w:p w14:paraId="736CBC7D" w14:textId="77777777" w:rsidR="00EB53A4" w:rsidRDefault="00EB53A4">
      <w:pPr>
        <w:rPr>
          <w:rFonts w:ascii="Times New Roman" w:eastAsia="Times New Roman" w:hAnsi="Times New Roman" w:cs="Times New Roman"/>
          <w:i/>
        </w:rPr>
      </w:pPr>
    </w:p>
    <w:p w14:paraId="57427C3A" w14:textId="77777777" w:rsidR="00EB53A4" w:rsidRDefault="00EB53A4">
      <w:pPr>
        <w:rPr>
          <w:rFonts w:ascii="Times New Roman" w:eastAsia="Times New Roman" w:hAnsi="Times New Roman" w:cs="Times New Roman"/>
          <w:i/>
        </w:rPr>
      </w:pPr>
    </w:p>
    <w:p w14:paraId="68F874DE" w14:textId="77777777" w:rsidR="00D25B48" w:rsidRPr="00B97C07" w:rsidRDefault="00F639C5">
      <w:pPr>
        <w:pStyle w:val="Heading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" w:name="_heading=h.xd5q0wh5221" w:colFirst="0" w:colLast="0"/>
      <w:bookmarkEnd w:id="6"/>
      <w:r w:rsidRPr="00B97C07">
        <w:rPr>
          <w:rFonts w:ascii="Times New Roman" w:eastAsia="Times New Roman" w:hAnsi="Times New Roman" w:cs="Times New Roman"/>
          <w:color w:val="auto"/>
          <w:sz w:val="28"/>
          <w:szCs w:val="28"/>
        </w:rPr>
        <w:t>Opći cilj LRS, Specifični cilj LRS, Potrebe, Intervencije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3"/>
        <w:gridCol w:w="2070"/>
        <w:gridCol w:w="2719"/>
        <w:gridCol w:w="2760"/>
      </w:tblGrid>
      <w:tr w:rsidR="00D25B48" w14:paraId="1012C1D7" w14:textId="77777777">
        <w:trPr>
          <w:trHeight w:val="20"/>
        </w:trPr>
        <w:tc>
          <w:tcPr>
            <w:tcW w:w="1513" w:type="dxa"/>
            <w:shd w:val="clear" w:color="auto" w:fill="B4C6E7"/>
            <w:vAlign w:val="center"/>
          </w:tcPr>
          <w:p w14:paraId="1EA84DE1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_heading=h.8et6dk5r3kpr" w:colFirst="0" w:colLast="0"/>
            <w:bookmarkEnd w:id="7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Opći cilj LRS</w:t>
            </w:r>
          </w:p>
        </w:tc>
        <w:tc>
          <w:tcPr>
            <w:tcW w:w="2070" w:type="dxa"/>
            <w:shd w:val="clear" w:color="auto" w:fill="B4C6E7"/>
            <w:vAlign w:val="center"/>
          </w:tcPr>
          <w:p w14:paraId="39C0736D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Specifični  cilj LRS</w:t>
            </w:r>
          </w:p>
        </w:tc>
        <w:tc>
          <w:tcPr>
            <w:tcW w:w="2719" w:type="dxa"/>
            <w:shd w:val="clear" w:color="auto" w:fill="B4C6E7"/>
            <w:vAlign w:val="center"/>
          </w:tcPr>
          <w:p w14:paraId="2718E967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Potreba</w:t>
            </w:r>
          </w:p>
        </w:tc>
        <w:tc>
          <w:tcPr>
            <w:tcW w:w="2760" w:type="dxa"/>
            <w:shd w:val="clear" w:color="auto" w:fill="B4C6E7"/>
            <w:vAlign w:val="center"/>
          </w:tcPr>
          <w:p w14:paraId="01BECEDE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Intervencija</w:t>
            </w:r>
          </w:p>
        </w:tc>
      </w:tr>
      <w:tr w:rsidR="00D25B48" w14:paraId="65AE6AEB" w14:textId="77777777" w:rsidTr="00EB53A4">
        <w:trPr>
          <w:trHeight w:val="20"/>
        </w:trPr>
        <w:tc>
          <w:tcPr>
            <w:tcW w:w="1513" w:type="dxa"/>
            <w:vMerge w:val="restart"/>
            <w:shd w:val="clear" w:color="auto" w:fill="E2EFD9"/>
            <w:vAlign w:val="center"/>
          </w:tcPr>
          <w:p w14:paraId="3AA30882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 1. Poticanje rasta, razvoja i zapošljavanja u sektoru poljoprivrede</w:t>
            </w:r>
          </w:p>
          <w:p w14:paraId="1B8A44F0" w14:textId="77777777" w:rsidR="00D25B48" w:rsidRDefault="00D25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shd w:val="clear" w:color="auto" w:fill="E2EFD9"/>
            <w:vAlign w:val="center"/>
          </w:tcPr>
          <w:p w14:paraId="22835945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SC 1.1. Povećanje konkurentnosti i održivosti uz modernizaciju i razvoj  postojećih usluga  na poljoprivrednom gospodarstvu</w:t>
            </w:r>
          </w:p>
        </w:tc>
        <w:tc>
          <w:tcPr>
            <w:tcW w:w="2719" w:type="dxa"/>
            <w:vMerge w:val="restart"/>
            <w:shd w:val="clear" w:color="auto" w:fill="E2EFD9"/>
            <w:vAlign w:val="center"/>
          </w:tcPr>
          <w:p w14:paraId="24047ABE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P 1 Osiguranje održivog dohotka</w:t>
            </w:r>
          </w:p>
        </w:tc>
        <w:tc>
          <w:tcPr>
            <w:tcW w:w="2760" w:type="dxa"/>
            <w:shd w:val="clear" w:color="auto" w:fill="FFFFFF" w:themeFill="background1"/>
            <w:vAlign w:val="center"/>
          </w:tcPr>
          <w:p w14:paraId="5AE59A39" w14:textId="77777777" w:rsidR="00D25B48" w:rsidRDefault="00D25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5A5652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3A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1.1.1. Jačanje konkurentnosti i stvaranje preduvjeta za održivi dohodak poljoprivrednih gospodarstava</w:t>
            </w:r>
          </w:p>
        </w:tc>
      </w:tr>
      <w:tr w:rsidR="00D25B48" w14:paraId="4BBB6558" w14:textId="77777777" w:rsidTr="00EB53A4">
        <w:trPr>
          <w:trHeight w:val="20"/>
        </w:trPr>
        <w:tc>
          <w:tcPr>
            <w:tcW w:w="1513" w:type="dxa"/>
            <w:vMerge/>
            <w:shd w:val="clear" w:color="auto" w:fill="E2EFD9"/>
            <w:vAlign w:val="center"/>
          </w:tcPr>
          <w:p w14:paraId="6F489F1F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E2EFD9"/>
            <w:vAlign w:val="center"/>
          </w:tcPr>
          <w:p w14:paraId="500D5BBA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E2EFD9"/>
            <w:vAlign w:val="center"/>
          </w:tcPr>
          <w:p w14:paraId="2B84C4F7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E2EFD9" w:themeFill="accent6" w:themeFillTint="33"/>
            <w:vAlign w:val="center"/>
          </w:tcPr>
          <w:p w14:paraId="1F84FBC5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1.2.1. Razvoj dodatnih usluga na poljoprivrednom gospodarstvu</w:t>
            </w:r>
          </w:p>
        </w:tc>
      </w:tr>
      <w:tr w:rsidR="00D25B48" w14:paraId="29A3F1A6" w14:textId="77777777">
        <w:trPr>
          <w:trHeight w:val="20"/>
        </w:trPr>
        <w:tc>
          <w:tcPr>
            <w:tcW w:w="1513" w:type="dxa"/>
            <w:vMerge w:val="restart"/>
            <w:vAlign w:val="center"/>
          </w:tcPr>
          <w:p w14:paraId="6F2BC452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OC 2.  Povećanje atraktivnosti ruralnog prostora kroz raznolikost sadržaja i promociju kulturne baštine i gastronomije</w:t>
            </w:r>
          </w:p>
        </w:tc>
        <w:tc>
          <w:tcPr>
            <w:tcW w:w="2070" w:type="dxa"/>
            <w:vAlign w:val="center"/>
          </w:tcPr>
          <w:p w14:paraId="7D177871" w14:textId="77777777" w:rsidR="00D25B48" w:rsidRDefault="00D25B4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749498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 2.1. Unapređenje ruralne infrastrukture</w:t>
            </w:r>
          </w:p>
          <w:p w14:paraId="7B754356" w14:textId="77777777" w:rsidR="00D25B48" w:rsidRDefault="00D25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14:paraId="5CA53C51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P 2 Poboljšanje kvalitete života u ruralnoj sredini</w:t>
            </w:r>
          </w:p>
        </w:tc>
        <w:tc>
          <w:tcPr>
            <w:tcW w:w="2760" w:type="dxa"/>
            <w:vAlign w:val="center"/>
          </w:tcPr>
          <w:p w14:paraId="4A07D5DA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2.1.1. Ulaganje u stvaranje  dodatnog sadržaja/usluga u ruralnom prostoru</w:t>
            </w:r>
          </w:p>
        </w:tc>
      </w:tr>
      <w:tr w:rsidR="00D25B48" w14:paraId="1BF92711" w14:textId="77777777">
        <w:trPr>
          <w:trHeight w:val="20"/>
        </w:trPr>
        <w:tc>
          <w:tcPr>
            <w:tcW w:w="1513" w:type="dxa"/>
            <w:vMerge/>
            <w:vAlign w:val="center"/>
          </w:tcPr>
          <w:p w14:paraId="117A44E6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1AB1EBFF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SC 3.1. Jačanje identiteta i promocija LAG područja</w:t>
            </w:r>
          </w:p>
        </w:tc>
        <w:tc>
          <w:tcPr>
            <w:tcW w:w="2719" w:type="dxa"/>
            <w:vAlign w:val="center"/>
          </w:tcPr>
          <w:p w14:paraId="36B75135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 3 Jačanje promocije lokalne gastronomije i kulturne materijalne i nematerijalne baštine</w:t>
            </w:r>
          </w:p>
          <w:p w14:paraId="31B3213E" w14:textId="77777777" w:rsidR="00D25B48" w:rsidRDefault="00D25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400F09D6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3.1.1. Potpora aktivnostima promocije lokalne gastronomije i kulturne baštine</w:t>
            </w:r>
          </w:p>
        </w:tc>
      </w:tr>
    </w:tbl>
    <w:p w14:paraId="405C863A" w14:textId="77777777" w:rsidR="00D25B48" w:rsidRDefault="00D25B48">
      <w:pPr>
        <w:rPr>
          <w:rFonts w:ascii="Times New Roman" w:eastAsia="Times New Roman" w:hAnsi="Times New Roman" w:cs="Times New Roman"/>
          <w:i/>
        </w:rPr>
      </w:pPr>
    </w:p>
    <w:p w14:paraId="38962AC0" w14:textId="77777777" w:rsidR="00D25B48" w:rsidRDefault="00D25B48">
      <w:pPr>
        <w:rPr>
          <w:rFonts w:ascii="Times New Roman" w:eastAsia="Times New Roman" w:hAnsi="Times New Roman" w:cs="Times New Roman"/>
          <w:i/>
        </w:rPr>
      </w:pPr>
    </w:p>
    <w:p w14:paraId="73F2CCC2" w14:textId="77777777" w:rsidR="00D25B48" w:rsidRDefault="00D25B48">
      <w:pPr>
        <w:rPr>
          <w:rFonts w:ascii="Times New Roman" w:eastAsia="Times New Roman" w:hAnsi="Times New Roman" w:cs="Times New Roman"/>
          <w:i/>
        </w:rPr>
      </w:pPr>
    </w:p>
    <w:p w14:paraId="44A6137B" w14:textId="77777777" w:rsidR="00D25B48" w:rsidRDefault="00F639C5">
      <w:pPr>
        <w:rPr>
          <w:rFonts w:ascii="Times New Roman" w:eastAsia="Times New Roman" w:hAnsi="Times New Roman" w:cs="Times New Roman"/>
          <w:i/>
        </w:rPr>
      </w:pPr>
      <w:r>
        <w:br w:type="page"/>
      </w:r>
    </w:p>
    <w:p w14:paraId="324629D4" w14:textId="77777777" w:rsidR="00D25B48" w:rsidRDefault="00D25B48">
      <w:pPr>
        <w:pStyle w:val="Heading2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eading=h.mnso0qcbs7av" w:colFirst="0" w:colLast="0"/>
      <w:bookmarkEnd w:id="8"/>
    </w:p>
    <w:p w14:paraId="48BF832E" w14:textId="77777777" w:rsidR="00D25B48" w:rsidRPr="00B97C07" w:rsidRDefault="00F639C5">
      <w:pPr>
        <w:pStyle w:val="Heading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" w:name="_heading=h.9itkic7xusjl" w:colFirst="0" w:colLast="0"/>
      <w:bookmarkEnd w:id="9"/>
      <w:r w:rsidRPr="00B97C07">
        <w:rPr>
          <w:rFonts w:ascii="Times New Roman" w:eastAsia="Times New Roman" w:hAnsi="Times New Roman" w:cs="Times New Roman"/>
          <w:color w:val="auto"/>
          <w:sz w:val="28"/>
          <w:szCs w:val="28"/>
        </w:rPr>
        <w:t>Pregled Općih i Specifičnih ciljeva LRS-a „LAG-a „More 249“ u odnosu na ciljeve SP ZPP-a</w:t>
      </w:r>
    </w:p>
    <w:tbl>
      <w:tblPr>
        <w:tblStyle w:val="a5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2412"/>
        <w:gridCol w:w="2103"/>
        <w:gridCol w:w="2412"/>
      </w:tblGrid>
      <w:tr w:rsidR="00D25B48" w14:paraId="34C0150E" w14:textId="77777777">
        <w:trPr>
          <w:trHeight w:val="500"/>
        </w:trPr>
        <w:tc>
          <w:tcPr>
            <w:tcW w:w="6798" w:type="dxa"/>
            <w:gridSpan w:val="3"/>
            <w:shd w:val="clear" w:color="auto" w:fill="DEEBF6"/>
          </w:tcPr>
          <w:p w14:paraId="76185B64" w14:textId="77777777" w:rsidR="00D25B48" w:rsidRDefault="00F639C5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LRS</w:t>
            </w:r>
          </w:p>
        </w:tc>
        <w:tc>
          <w:tcPr>
            <w:tcW w:w="2412" w:type="dxa"/>
            <w:shd w:val="clear" w:color="auto" w:fill="DEEBF6"/>
          </w:tcPr>
          <w:p w14:paraId="1F7709CF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SP ZPP</w:t>
            </w:r>
          </w:p>
        </w:tc>
      </w:tr>
      <w:tr w:rsidR="00D25B48" w14:paraId="469C64F9" w14:textId="77777777">
        <w:trPr>
          <w:trHeight w:val="470"/>
        </w:trPr>
        <w:tc>
          <w:tcPr>
            <w:tcW w:w="2283" w:type="dxa"/>
          </w:tcPr>
          <w:p w14:paraId="47F47F2B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Opći ciljevi</w:t>
            </w:r>
          </w:p>
        </w:tc>
        <w:tc>
          <w:tcPr>
            <w:tcW w:w="2412" w:type="dxa"/>
          </w:tcPr>
          <w:p w14:paraId="09BF8099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Specifični ciljevi</w:t>
            </w:r>
          </w:p>
        </w:tc>
        <w:tc>
          <w:tcPr>
            <w:tcW w:w="2103" w:type="dxa"/>
          </w:tcPr>
          <w:p w14:paraId="12B5173F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Intervencija</w:t>
            </w:r>
          </w:p>
        </w:tc>
        <w:tc>
          <w:tcPr>
            <w:tcW w:w="2412" w:type="dxa"/>
          </w:tcPr>
          <w:p w14:paraId="48497F10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Specifični ciljevi</w:t>
            </w:r>
          </w:p>
        </w:tc>
      </w:tr>
      <w:tr w:rsidR="00D25B48" w14:paraId="4D7CE7A8" w14:textId="77777777" w:rsidTr="00B97C07">
        <w:trPr>
          <w:trHeight w:val="500"/>
        </w:trPr>
        <w:tc>
          <w:tcPr>
            <w:tcW w:w="2283" w:type="dxa"/>
            <w:vMerge w:val="restart"/>
            <w:shd w:val="clear" w:color="auto" w:fill="E2EFD9"/>
          </w:tcPr>
          <w:p w14:paraId="78DA8E54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OC1</w:t>
            </w:r>
          </w:p>
        </w:tc>
        <w:tc>
          <w:tcPr>
            <w:tcW w:w="2412" w:type="dxa"/>
            <w:vMerge w:val="restart"/>
            <w:shd w:val="clear" w:color="auto" w:fill="E2EFD9"/>
          </w:tcPr>
          <w:p w14:paraId="73931F9A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SC 1.1.</w:t>
            </w:r>
          </w:p>
        </w:tc>
        <w:tc>
          <w:tcPr>
            <w:tcW w:w="2103" w:type="dxa"/>
            <w:shd w:val="clear" w:color="auto" w:fill="FFFFFF" w:themeFill="background1"/>
          </w:tcPr>
          <w:p w14:paraId="6E305725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1.1.1.</w:t>
            </w:r>
          </w:p>
        </w:tc>
        <w:tc>
          <w:tcPr>
            <w:tcW w:w="2412" w:type="dxa"/>
            <w:shd w:val="clear" w:color="auto" w:fill="FFFFFF" w:themeFill="background1"/>
          </w:tcPr>
          <w:p w14:paraId="4F8C1E8D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SC2, SC4, SC8</w:t>
            </w:r>
          </w:p>
        </w:tc>
      </w:tr>
      <w:tr w:rsidR="00D25B48" w14:paraId="3B472796" w14:textId="77777777" w:rsidTr="00B97C07">
        <w:trPr>
          <w:trHeight w:val="281"/>
        </w:trPr>
        <w:tc>
          <w:tcPr>
            <w:tcW w:w="2283" w:type="dxa"/>
            <w:vMerge/>
            <w:shd w:val="clear" w:color="auto" w:fill="E2EFD9"/>
          </w:tcPr>
          <w:p w14:paraId="4BCFE91A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412" w:type="dxa"/>
            <w:vMerge/>
            <w:shd w:val="clear" w:color="auto" w:fill="E2EFD9"/>
          </w:tcPr>
          <w:p w14:paraId="022E78D2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103" w:type="dxa"/>
            <w:shd w:val="clear" w:color="auto" w:fill="E2EFD9" w:themeFill="accent6" w:themeFillTint="33"/>
          </w:tcPr>
          <w:p w14:paraId="4BDDB2C1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1.2.1.</w:t>
            </w:r>
          </w:p>
        </w:tc>
        <w:tc>
          <w:tcPr>
            <w:tcW w:w="2412" w:type="dxa"/>
            <w:shd w:val="clear" w:color="auto" w:fill="E2EFD9" w:themeFill="accent6" w:themeFillTint="33"/>
          </w:tcPr>
          <w:p w14:paraId="131F853D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 8</w:t>
            </w:r>
          </w:p>
        </w:tc>
      </w:tr>
      <w:tr w:rsidR="00D25B48" w14:paraId="0C469F38" w14:textId="77777777">
        <w:trPr>
          <w:trHeight w:val="500"/>
        </w:trPr>
        <w:tc>
          <w:tcPr>
            <w:tcW w:w="2283" w:type="dxa"/>
            <w:vMerge w:val="restart"/>
          </w:tcPr>
          <w:p w14:paraId="33C688B3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OC2</w:t>
            </w:r>
          </w:p>
        </w:tc>
        <w:tc>
          <w:tcPr>
            <w:tcW w:w="2412" w:type="dxa"/>
          </w:tcPr>
          <w:p w14:paraId="62770162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SC 2.1.</w:t>
            </w:r>
          </w:p>
        </w:tc>
        <w:tc>
          <w:tcPr>
            <w:tcW w:w="2103" w:type="dxa"/>
          </w:tcPr>
          <w:p w14:paraId="0A7CFBF3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2.1.1.</w:t>
            </w:r>
          </w:p>
        </w:tc>
        <w:tc>
          <w:tcPr>
            <w:tcW w:w="2412" w:type="dxa"/>
          </w:tcPr>
          <w:p w14:paraId="77DA499A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SC8</w:t>
            </w:r>
          </w:p>
        </w:tc>
      </w:tr>
      <w:tr w:rsidR="00D25B48" w14:paraId="3961B07A" w14:textId="77777777">
        <w:trPr>
          <w:trHeight w:val="281"/>
        </w:trPr>
        <w:tc>
          <w:tcPr>
            <w:tcW w:w="2283" w:type="dxa"/>
            <w:vMerge/>
          </w:tcPr>
          <w:p w14:paraId="0C56EE01" w14:textId="77777777" w:rsidR="00D25B48" w:rsidRDefault="00D25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412" w:type="dxa"/>
          </w:tcPr>
          <w:p w14:paraId="7DF55ADA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SC 3.1.</w:t>
            </w:r>
          </w:p>
        </w:tc>
        <w:tc>
          <w:tcPr>
            <w:tcW w:w="2103" w:type="dxa"/>
          </w:tcPr>
          <w:p w14:paraId="48AB49C4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3.1.1.</w:t>
            </w:r>
          </w:p>
        </w:tc>
        <w:tc>
          <w:tcPr>
            <w:tcW w:w="2412" w:type="dxa"/>
          </w:tcPr>
          <w:p w14:paraId="6E39C5AF" w14:textId="77777777" w:rsidR="00D25B48" w:rsidRDefault="00F639C5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SC8</w:t>
            </w:r>
          </w:p>
        </w:tc>
      </w:tr>
    </w:tbl>
    <w:p w14:paraId="73BC135B" w14:textId="77777777" w:rsidR="00D25B48" w:rsidRDefault="00D25B48">
      <w:pPr>
        <w:rPr>
          <w:rFonts w:ascii="Times New Roman" w:eastAsia="Times New Roman" w:hAnsi="Times New Roman" w:cs="Times New Roman"/>
        </w:rPr>
      </w:pPr>
    </w:p>
    <w:p w14:paraId="113F7E80" w14:textId="77777777" w:rsidR="00D25B48" w:rsidRPr="00B97C07" w:rsidRDefault="00F639C5">
      <w:pPr>
        <w:pStyle w:val="Heading2"/>
        <w:rPr>
          <w:rFonts w:ascii="Times New Roman" w:eastAsia="Times New Roman" w:hAnsi="Times New Roman" w:cs="Times New Roman"/>
          <w:color w:val="auto"/>
        </w:rPr>
      </w:pPr>
      <w:bookmarkStart w:id="10" w:name="_heading=h.katuobm5bfzm" w:colFirst="0" w:colLast="0"/>
      <w:bookmarkEnd w:id="10"/>
      <w:r w:rsidRPr="00B97C07">
        <w:rPr>
          <w:rFonts w:ascii="Times New Roman" w:eastAsia="Times New Roman" w:hAnsi="Times New Roman" w:cs="Times New Roman"/>
          <w:color w:val="auto"/>
          <w:sz w:val="28"/>
          <w:szCs w:val="28"/>
        </w:rPr>
        <w:t>Prikaz kriterija na temelju kojih projekti iz intervencije doprinose provedbi koncepta Pametnih sela</w:t>
      </w:r>
    </w:p>
    <w:p w14:paraId="4BE4B277" w14:textId="77777777" w:rsidR="00D25B48" w:rsidRDefault="00D25B48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9"/>
        <w:gridCol w:w="3275"/>
        <w:gridCol w:w="5098"/>
      </w:tblGrid>
      <w:tr w:rsidR="00D25B48" w14:paraId="21CCCF76" w14:textId="77777777">
        <w:trPr>
          <w:trHeight w:val="850"/>
        </w:trPr>
        <w:tc>
          <w:tcPr>
            <w:tcW w:w="689" w:type="dxa"/>
            <w:shd w:val="clear" w:color="auto" w:fill="DEEBF6"/>
          </w:tcPr>
          <w:p w14:paraId="1F9F6164" w14:textId="77777777" w:rsidR="00D25B48" w:rsidRDefault="00F639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r.b.</w:t>
            </w:r>
          </w:p>
        </w:tc>
        <w:tc>
          <w:tcPr>
            <w:tcW w:w="3275" w:type="dxa"/>
            <w:shd w:val="clear" w:color="auto" w:fill="DEEBF6"/>
          </w:tcPr>
          <w:p w14:paraId="4067EADB" w14:textId="77777777" w:rsidR="00D25B48" w:rsidRDefault="00F639C5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Kriterij koji doprinosi provedbi koncepta „Pametnih sela“</w:t>
            </w:r>
          </w:p>
        </w:tc>
        <w:tc>
          <w:tcPr>
            <w:tcW w:w="5098" w:type="dxa"/>
            <w:shd w:val="clear" w:color="auto" w:fill="DEEBF6"/>
          </w:tcPr>
          <w:p w14:paraId="6DA9AFDE" w14:textId="77777777" w:rsidR="00D25B48" w:rsidRDefault="00F639C5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Kriteriji LAG-a na temelju kojih se projekti svrstavaju u projekte koji doprinose provedbi koncepta Pametnih sela.</w:t>
            </w:r>
          </w:p>
        </w:tc>
      </w:tr>
      <w:tr w:rsidR="00D25B48" w14:paraId="1897548D" w14:textId="77777777">
        <w:trPr>
          <w:trHeight w:val="850"/>
        </w:trPr>
        <w:tc>
          <w:tcPr>
            <w:tcW w:w="689" w:type="dxa"/>
          </w:tcPr>
          <w:p w14:paraId="493FA66D" w14:textId="77777777" w:rsidR="00D25B48" w:rsidRDefault="00F639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275" w:type="dxa"/>
          </w:tcPr>
          <w:p w14:paraId="29E08528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Inovativna i pametna rješenjima u selima</w:t>
            </w:r>
          </w:p>
        </w:tc>
        <w:tc>
          <w:tcPr>
            <w:tcW w:w="5098" w:type="dxa"/>
          </w:tcPr>
          <w:p w14:paraId="2561160A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Korištenje novih inovativnih rješenja odnosi se na primjenu novih ideja, tehnologija i poslovnih modela kako bi se poboljšao životni standard, ekonomska održivost i kvaliteta života. Inovativna rješenja ne obuhvaćaju samo tehnološku inovaciju u poljoprivredi, već i širu transformaciju ruralnih zajednica kroz nove pristupe u svim sektorima života i rada.</w:t>
            </w:r>
          </w:p>
        </w:tc>
      </w:tr>
      <w:tr w:rsidR="00D25B48" w14:paraId="1933A399" w14:textId="77777777">
        <w:trPr>
          <w:trHeight w:val="850"/>
        </w:trPr>
        <w:tc>
          <w:tcPr>
            <w:tcW w:w="689" w:type="dxa"/>
          </w:tcPr>
          <w:p w14:paraId="009373AD" w14:textId="77777777" w:rsidR="00D25B48" w:rsidRDefault="00F639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3275" w:type="dxa"/>
          </w:tcPr>
          <w:p w14:paraId="33C96E25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Digitalizaciju u poljoprivredi i ostalim društvenim aktivnostima u selima</w:t>
            </w:r>
          </w:p>
        </w:tc>
        <w:tc>
          <w:tcPr>
            <w:tcW w:w="5098" w:type="dxa"/>
          </w:tcPr>
          <w:p w14:paraId="5193410E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Korištenje digitalnih rješenja s popisa digitalnih rješenja koja bitno pridonose poljoprivredi, nepoljoprivrednim djelatnostima ili ruralnom području, uključujući ulaganje u stjecanje znanja i vještina (primjerice: pametna rasvjeta, sustavi za precizno navodnjavanje, digitalne obavijesti, GPS, sustavi za praćenje i ostalo).</w:t>
            </w:r>
          </w:p>
        </w:tc>
      </w:tr>
      <w:tr w:rsidR="00D25B48" w14:paraId="28BEB852" w14:textId="77777777">
        <w:trPr>
          <w:trHeight w:val="850"/>
        </w:trPr>
        <w:tc>
          <w:tcPr>
            <w:tcW w:w="689" w:type="dxa"/>
          </w:tcPr>
          <w:p w14:paraId="6D17D6C8" w14:textId="77777777" w:rsidR="00D25B48" w:rsidRDefault="00F639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75" w:type="dxa"/>
          </w:tcPr>
          <w:p w14:paraId="4697AB52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Doprinos okolišnim ciljevima i ublažavanju klimatskih promjena u selima.</w:t>
            </w:r>
          </w:p>
        </w:tc>
        <w:tc>
          <w:tcPr>
            <w:tcW w:w="5098" w:type="dxa"/>
          </w:tcPr>
          <w:p w14:paraId="43943B96" w14:textId="77777777" w:rsidR="00D25B48" w:rsidRDefault="00F639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Korištenje obnovljivih izvora energije, energetske učinkovitosti, projektne aktivnosti se odnose na ekološku poljoprivredu, ekološko prihvatljivo pakiranje, ulaganja u stjecanje znanja i vještina za zelenu tranziciju.</w:t>
            </w:r>
          </w:p>
        </w:tc>
      </w:tr>
    </w:tbl>
    <w:p w14:paraId="37B1D890" w14:textId="77777777" w:rsidR="00D25B48" w:rsidRDefault="00D25B48">
      <w:pPr>
        <w:rPr>
          <w:rFonts w:ascii="Times New Roman" w:eastAsia="Times New Roman" w:hAnsi="Times New Roman" w:cs="Times New Roman"/>
        </w:rPr>
      </w:pPr>
    </w:p>
    <w:sectPr w:rsidR="00D25B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85D1" w14:textId="77777777" w:rsidR="009A3975" w:rsidRDefault="009A3975">
      <w:pPr>
        <w:spacing w:after="0" w:line="240" w:lineRule="auto"/>
      </w:pPr>
      <w:r>
        <w:separator/>
      </w:r>
    </w:p>
  </w:endnote>
  <w:endnote w:type="continuationSeparator" w:id="0">
    <w:p w14:paraId="618CEBF3" w14:textId="77777777" w:rsidR="009A3975" w:rsidRDefault="009A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2E49B86-3703-4B6C-AFC4-211C2736E764}"/>
    <w:embedBold r:id="rId2" w:fontKey="{F08C13C6-F436-4F99-BAA4-D80D9823DD51}"/>
    <w:embedItalic r:id="rId3" w:fontKey="{7A8165B2-D4AD-4204-B20F-EEDA36131A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4" w:fontKey="{E4FA6A71-6AEA-4570-981A-2276E7618AD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569F050-93EA-445D-8D10-0008B50B6C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72F616DA-DD99-4AF8-BD99-EBDBD5C263C7}"/>
    <w:embedBold r:id="rId7" w:fontKey="{7E14B370-699B-4AD4-A511-19620E8B7A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CE27" w14:textId="77777777" w:rsidR="00D25B48" w:rsidRDefault="00F639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B53A4">
      <w:rPr>
        <w:noProof/>
        <w:color w:val="000000"/>
      </w:rPr>
      <w:t>1</w:t>
    </w:r>
    <w:r>
      <w:rPr>
        <w:color w:val="000000"/>
      </w:rPr>
      <w:fldChar w:fldCharType="end"/>
    </w:r>
  </w:p>
  <w:p w14:paraId="085277E7" w14:textId="77777777" w:rsidR="00D25B48" w:rsidRDefault="00D25B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EF35" w14:textId="77777777" w:rsidR="009A3975" w:rsidRDefault="009A3975">
      <w:pPr>
        <w:spacing w:after="0" w:line="240" w:lineRule="auto"/>
      </w:pPr>
      <w:r>
        <w:separator/>
      </w:r>
    </w:p>
  </w:footnote>
  <w:footnote w:type="continuationSeparator" w:id="0">
    <w:p w14:paraId="34853D75" w14:textId="77777777" w:rsidR="009A3975" w:rsidRDefault="009A3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4ABD" w14:textId="77777777" w:rsidR="00D25B48" w:rsidRDefault="00F639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69A180B" wp14:editId="7EA73B20">
          <wp:simplePos x="0" y="0"/>
          <wp:positionH relativeFrom="margin">
            <wp:posOffset>3690620</wp:posOffset>
          </wp:positionH>
          <wp:positionV relativeFrom="margin">
            <wp:posOffset>-948690</wp:posOffset>
          </wp:positionV>
          <wp:extent cx="995045" cy="971550"/>
          <wp:effectExtent l="0" t="0" r="0" b="0"/>
          <wp:wrapSquare wrapText="bothSides" distT="114300" distB="114300" distL="114300" distR="114300"/>
          <wp:docPr id="16365680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504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31F25F8" wp14:editId="6D008F3B">
          <wp:simplePos x="0" y="0"/>
          <wp:positionH relativeFrom="page">
            <wp:posOffset>680085</wp:posOffset>
          </wp:positionH>
          <wp:positionV relativeFrom="page">
            <wp:posOffset>472542</wp:posOffset>
          </wp:positionV>
          <wp:extent cx="3668383" cy="600075"/>
          <wp:effectExtent l="0" t="0" r="0" b="0"/>
          <wp:wrapSquare wrapText="bothSides" distT="114300" distB="114300" distL="114300" distR="114300"/>
          <wp:docPr id="16365680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8383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7"/>
      <w:tblpPr w:leftFromText="181" w:rightFromText="181" w:vertAnchor="text" w:tblpX="8143" w:tblpY="1"/>
      <w:tblW w:w="115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55"/>
    </w:tblGrid>
    <w:tr w:rsidR="00D25B48" w14:paraId="3C69E772" w14:textId="77777777">
      <w:tc>
        <w:tcPr>
          <w:tcW w:w="1155" w:type="dxa"/>
          <w:vAlign w:val="center"/>
        </w:tcPr>
        <w:p w14:paraId="09D7F1F5" w14:textId="77777777" w:rsidR="00D25B48" w:rsidRDefault="00F639C5">
          <w:pPr>
            <w:jc w:val="center"/>
            <w:rPr>
              <w:rFonts w:ascii="Arial Narrow" w:eastAsia="Arial Narrow" w:hAnsi="Arial Narrow" w:cs="Arial Narrow"/>
              <w:b/>
            </w:rPr>
          </w:pPr>
          <w:r>
            <w:rPr>
              <w:rFonts w:ascii="Arial Narrow" w:eastAsia="Arial Narrow" w:hAnsi="Arial Narrow" w:cs="Arial Narrow"/>
              <w:b/>
            </w:rPr>
            <w:t>Prilog 3.</w:t>
          </w:r>
        </w:p>
      </w:tc>
    </w:tr>
  </w:tbl>
  <w:p w14:paraId="45E0D708" w14:textId="77777777" w:rsidR="00D25B48" w:rsidRDefault="00D25B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5DA626D8" w14:textId="77777777" w:rsidR="00D25B48" w:rsidRDefault="00D25B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926CC"/>
    <w:multiLevelType w:val="hybridMultilevel"/>
    <w:tmpl w:val="472A6252"/>
    <w:lvl w:ilvl="0" w:tplc="1CBE2A70">
      <w:start w:val="18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EC44D89"/>
    <w:multiLevelType w:val="multilevel"/>
    <w:tmpl w:val="75442A12"/>
    <w:lvl w:ilvl="0">
      <w:start w:val="18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FE7D92"/>
    <w:multiLevelType w:val="multilevel"/>
    <w:tmpl w:val="38F8D69E"/>
    <w:lvl w:ilvl="0">
      <w:start w:val="18"/>
      <w:numFmt w:val="bullet"/>
      <w:lvlText w:val="-"/>
      <w:lvlJc w:val="left"/>
      <w:pPr>
        <w:ind w:left="284" w:hanging="17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62330477">
    <w:abstractNumId w:val="1"/>
  </w:num>
  <w:num w:numId="2" w16cid:durableId="2029482382">
    <w:abstractNumId w:val="2"/>
  </w:num>
  <w:num w:numId="3" w16cid:durableId="79267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48"/>
    <w:rsid w:val="00075713"/>
    <w:rsid w:val="007E0DA9"/>
    <w:rsid w:val="009A3975"/>
    <w:rsid w:val="00B97C07"/>
    <w:rsid w:val="00C45EDF"/>
    <w:rsid w:val="00D25B48"/>
    <w:rsid w:val="00EB53A4"/>
    <w:rsid w:val="00F6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FF39"/>
  <w15:docId w15:val="{782AD7EF-107E-4FAD-8B81-C02430C9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31E"/>
  </w:style>
  <w:style w:type="paragraph" w:styleId="Heading1">
    <w:name w:val="heading 1"/>
    <w:basedOn w:val="Normal"/>
    <w:next w:val="Normal"/>
    <w:link w:val="Heading1Char"/>
    <w:uiPriority w:val="9"/>
    <w:qFormat/>
    <w:rsid w:val="00961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0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0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1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61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1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0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0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0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05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61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05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961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0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0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05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1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F68"/>
  </w:style>
  <w:style w:type="paragraph" w:styleId="Footer">
    <w:name w:val="footer"/>
    <w:basedOn w:val="Normal"/>
    <w:link w:val="FooterChar"/>
    <w:uiPriority w:val="99"/>
    <w:unhideWhenUsed/>
    <w:rsid w:val="00321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F68"/>
  </w:style>
  <w:style w:type="table" w:customStyle="1" w:styleId="Reetkatablice2">
    <w:name w:val="Rešetka tablice2"/>
    <w:basedOn w:val="TableNormal"/>
    <w:next w:val="TableGrid"/>
    <w:uiPriority w:val="39"/>
    <w:rsid w:val="004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47531E"/>
  </w:style>
  <w:style w:type="paragraph" w:styleId="TOCHeading">
    <w:name w:val="TOC Heading"/>
    <w:basedOn w:val="Heading1"/>
    <w:next w:val="Normal"/>
    <w:uiPriority w:val="39"/>
    <w:unhideWhenUsed/>
    <w:qFormat/>
    <w:rsid w:val="00CE3A67"/>
    <w:pPr>
      <w:spacing w:before="240" w:after="0"/>
      <w:outlineLvl w:val="9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E3A6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E3A67"/>
    <w:rPr>
      <w:color w:val="0563C1" w:themeColor="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3946AE"/>
    <w:pPr>
      <w:spacing w:after="100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3946AE"/>
    <w:pPr>
      <w:spacing w:after="100"/>
      <w:ind w:left="440"/>
    </w:pPr>
    <w:rPr>
      <w:rFonts w:asciiTheme="minorHAnsi" w:eastAsiaTheme="minorEastAsia" w:hAnsiTheme="minorHAnsi" w:cs="Times New Roman"/>
    </w:r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D+fyVAVHta+kK/AS95lMWKSmQA==">CgMxLjAyDmgubnNza3Z5eWxjOGtkMg5oLjV5bG40dXUyNWtvZTIOaC5pYjZscjZmZzVwdWIyDmguZHR0dDVxdWg1eG4wMg5oLnRmeWl1N25odG45MzIOaC40bmFkNWdpMGRhcXgyDWgubXNuN3VrNGpuYTUyDWgueGQ1cTB3aDUyMjEyDmguOGV0NmRrNXIza3ByMg5oLm1uc28wcWNiczdhdjIOaC45aXRraWM3eHVzamwyDmgua2F0dW9ibTViZnptOAByITF2QmF3TDZEZi1sWV95ZktmXzd6TVpLNzJ2Z0szdGtG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1806</Words>
  <Characters>10297</Characters>
  <Application>Microsoft Office Word</Application>
  <DocSecurity>0</DocSecurity>
  <Lines>85</Lines>
  <Paragraphs>24</Paragraphs>
  <ScaleCrop>false</ScaleCrop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 Krnić</dc:creator>
  <cp:lastModifiedBy>Meri Krnić</cp:lastModifiedBy>
  <cp:revision>4</cp:revision>
  <dcterms:created xsi:type="dcterms:W3CDTF">2025-03-05T07:08:00Z</dcterms:created>
  <dcterms:modified xsi:type="dcterms:W3CDTF">2026-06-16T13:31:00Z</dcterms:modified>
</cp:coreProperties>
</file>