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D735B" w14:textId="77777777" w:rsidR="00B57D8A" w:rsidRDefault="00B57D8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CF4F84" w14:textId="77777777" w:rsidR="00B57D8A" w:rsidRDefault="004C2BB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Prilog 2 - Specifični ciljevi Strateškog plana zajedničke poljoprivredne politike 2023.-2027.</w:t>
      </w:r>
    </w:p>
    <w:p w14:paraId="2C2A2C2F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SO1 Potpora održivom dohotku poljoprivrednih gospodarstava i otpornosti poljoprivrednog sektora u cijeloj Uniji kako bi se poboljšale dugoročna sigurnost opskrbe hranom i poljoprivredna raznolikost te osigurala gospodarska održivost poljoprivredne proizvodnje u Uniji</w:t>
      </w:r>
    </w:p>
    <w:p w14:paraId="68EDC783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SO2 Jačanje usmjerenosti na tržište i povećanje konkurentnosti poljoprivrednih gospodarstava kratkoročno i dugoročno, uključujući veću usmjerenost na istraživanje, tehnologiju i digitalizaciju</w:t>
      </w:r>
    </w:p>
    <w:p w14:paraId="050BDA07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SO3 Poboljšanje položaja poljoprivrednika u vrijednosnom lancu</w:t>
      </w:r>
    </w:p>
    <w:p w14:paraId="32B7E9DA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SO4 Doprinos ublažavanju klimatskih promjena i prilagodbi tim promjenama, uključujući smanjenjem emisija stakleničkih plinova i poboljšanjem sekvestracije ugljika, te promicanje održive energije</w:t>
      </w:r>
    </w:p>
    <w:p w14:paraId="54932995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SO5 Poticanje održivog razvoja i učinkovitog upravljanja prirodnim resursima kao što su voda, tlo i zrak, među ostalim smanjenjem ovisnosti o kemijskim sredstvima</w:t>
      </w:r>
    </w:p>
    <w:p w14:paraId="2CAF2DB8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SO6 Doprinos zaustavljanju i smanjenju gubitka bioraznolikosti, jačanje usluga ekosustava i očuvanje staništa i krajobraza</w:t>
      </w:r>
    </w:p>
    <w:p w14:paraId="5779B798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SO7 Privlačenje i podupiranje mladih poljoprivrednika i drugih novih poljoprivrednika te olakšavanje održivog poslovnog razvoja u ruralnim područjima</w:t>
      </w:r>
    </w:p>
    <w:p w14:paraId="7385348E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SO8 Promicanje zapošljavanja, rasta, rodne ravnopravnosti, uključujući sudjelovanje žena u poljoprivredi, socijalne uključenosti i lokalnog razvoja u ruralnim područjima, uključujući kružno biogospodarstvo i održivo šumarstvo</w:t>
      </w:r>
    </w:p>
    <w:p w14:paraId="583E32D5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SO9 Poboljšanje odgovora poljoprivrede Unije na društvene zahtjeve u pogledu hrane i zdravlja, uključujući visokokvalitetnu, sigurnu i hranjivu hranu proizvedenu na održiv način, smanjenje rasipanja hrane te poboljšanje dobrobiti životinja i borbu protiv antimikrobne rezistencije</w:t>
      </w:r>
    </w:p>
    <w:p w14:paraId="6530E9F9" w14:textId="77777777" w:rsidR="00B57D8A" w:rsidRDefault="004C2BB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XCO Međusektorski cilj modernizacije sektora poticanjem i razmjenom znanja, inovacija i digitalizacije u poljoprivredi i ruralnim područjima te promicanjem njihove primjene</w:t>
      </w:r>
      <w:r>
        <w:br w:type="page"/>
      </w:r>
    </w:p>
    <w:p w14:paraId="208CD212" w14:textId="77777777" w:rsidR="00B57D8A" w:rsidRDefault="00B57D8A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63C37F" w14:textId="41B05FCB" w:rsidR="00B57D8A" w:rsidRDefault="004C2BB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Kako bi projekt  bio prihvatljiv na LAG natječaju mora biti usklađen sa jednim ili više specifičnih ciljeva SP ZPP-a. Intervencija </w:t>
      </w:r>
      <w:r w:rsidR="00D45E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.1.1. </w:t>
      </w:r>
      <w:r w:rsidR="00D45E1D" w:rsidRPr="00D45E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Potpora aktivnostima promocije lokalne gastronomije i kulturne baštine </w:t>
      </w:r>
      <w:r w:rsidR="00D45E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doprinosi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specifičn</w:t>
      </w:r>
      <w:r w:rsidR="00D45E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om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cilj</w:t>
      </w:r>
      <w:r w:rsidR="00D45E1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u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   pokazateljima rezultata (R) SP ZPP 2023.-2027.:</w:t>
      </w:r>
    </w:p>
    <w:p w14:paraId="608C3F96" w14:textId="5987A326" w:rsidR="00B57D8A" w:rsidRPr="002D322D" w:rsidRDefault="004C2BB0" w:rsidP="00D45E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32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Specifični cilj – S0</w:t>
      </w:r>
      <w:r w:rsidR="00D45E1D" w:rsidRPr="002D32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8 </w:t>
      </w:r>
      <w:r w:rsidR="00D45E1D" w:rsidRPr="002D322D">
        <w:rPr>
          <w:rFonts w:ascii="Times New Roman" w:eastAsia="Times New Roman" w:hAnsi="Times New Roman" w:cs="Times New Roman"/>
          <w:sz w:val="24"/>
          <w:szCs w:val="24"/>
        </w:rPr>
        <w:t>Promicanje zapošljavanja, rasta, rodne ravnopravnosti, uključujući sudjelovanje žena u poljoprivredi, socijalne uključenosti i lokalnog razvoja u ruralnim područjima, uključujući kružno biogospodarstvo i održivo šumarstvo</w:t>
      </w:r>
    </w:p>
    <w:p w14:paraId="3F960BE1" w14:textId="77777777" w:rsidR="00D45E1D" w:rsidRPr="002D322D" w:rsidRDefault="00D45E1D" w:rsidP="00D45E1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906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560"/>
        <w:gridCol w:w="3495"/>
        <w:gridCol w:w="4005"/>
      </w:tblGrid>
      <w:tr w:rsidR="00B57D8A" w:rsidRPr="002D322D" w14:paraId="72637D47" w14:textId="77777777" w:rsidTr="00D45E1D">
        <w:trPr>
          <w:trHeight w:val="1114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04078" w14:textId="77777777" w:rsidR="00B57D8A" w:rsidRPr="002D322D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2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Pokazatelj rezultata</w:t>
            </w:r>
          </w:p>
          <w:p w14:paraId="106639C7" w14:textId="77777777" w:rsidR="00B57D8A" w:rsidRPr="002D322D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2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(R)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33646" w14:textId="77777777" w:rsidR="00B57D8A" w:rsidRPr="002D322D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2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Naziv pokazatelja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5F100" w14:textId="77777777" w:rsidR="00B57D8A" w:rsidRPr="002D322D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2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Mjerna jedinica</w:t>
            </w:r>
          </w:p>
          <w:p w14:paraId="06FB511D" w14:textId="77777777" w:rsidR="00B57D8A" w:rsidRPr="002D322D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2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LRS/SP ZPP</w:t>
            </w:r>
          </w:p>
        </w:tc>
      </w:tr>
      <w:tr w:rsidR="00B57D8A" w:rsidRPr="002D322D" w14:paraId="5B338D04" w14:textId="77777777" w:rsidTr="00D45E1D">
        <w:trPr>
          <w:trHeight w:val="10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A1263" w14:textId="5F1504E9" w:rsidR="00B57D8A" w:rsidRPr="002D322D" w:rsidRDefault="004C2B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2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R.</w:t>
            </w:r>
            <w:r w:rsidR="00D45E1D" w:rsidRPr="002D32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05B12" w14:textId="62BFB673" w:rsidR="00D45E1D" w:rsidRPr="002D322D" w:rsidRDefault="00D45E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22D">
              <w:rPr>
                <w:rFonts w:ascii="Times New Roman" w:hAnsi="Times New Roman" w:cs="Times New Roman"/>
                <w:sz w:val="24"/>
                <w:szCs w:val="24"/>
              </w:rPr>
              <w:t>Povezivanje ruralnih područja Europe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2AC29" w14:textId="54C479F3" w:rsidR="00B57D8A" w:rsidRPr="002D322D" w:rsidRDefault="00D45E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322D">
              <w:rPr>
                <w:rFonts w:ascii="Times New Roman" w:hAnsi="Times New Roman" w:cs="Times New Roman"/>
                <w:sz w:val="24"/>
                <w:szCs w:val="24"/>
              </w:rPr>
              <w:t>Broj ruralnog stanovništvo koje ima koristi</w:t>
            </w:r>
          </w:p>
        </w:tc>
      </w:tr>
    </w:tbl>
    <w:p w14:paraId="43666A4C" w14:textId="77777777" w:rsidR="00B57D8A" w:rsidRPr="002D322D" w:rsidRDefault="00B57D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00349E" w14:textId="4DF58ADF" w:rsidR="00B57D8A" w:rsidRPr="002D322D" w:rsidRDefault="003D7DE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322D">
        <w:rPr>
          <w:rFonts w:ascii="Times New Roman" w:hAnsi="Times New Roman" w:cs="Times New Roman"/>
          <w:sz w:val="24"/>
          <w:szCs w:val="24"/>
        </w:rPr>
        <w:t>Napomena</w:t>
      </w:r>
      <w:r w:rsidRPr="002D322D">
        <w:rPr>
          <w:sz w:val="24"/>
          <w:szCs w:val="24"/>
        </w:rPr>
        <w:t xml:space="preserve">: </w:t>
      </w:r>
      <w:r w:rsidRPr="002D322D">
        <w:rPr>
          <w:rFonts w:ascii="Times New Roman" w:hAnsi="Times New Roman" w:cs="Times New Roman"/>
          <w:sz w:val="24"/>
          <w:szCs w:val="24"/>
        </w:rPr>
        <w:t>Sukladno Vodiču</w:t>
      </w:r>
      <w:r w:rsidR="004743A4" w:rsidRPr="002D322D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 w:rsidRPr="002D322D">
        <w:rPr>
          <w:rFonts w:ascii="Times New Roman" w:hAnsi="Times New Roman" w:cs="Times New Roman"/>
          <w:sz w:val="24"/>
          <w:szCs w:val="24"/>
        </w:rPr>
        <w:t xml:space="preserve"> za pokazatelje rezultata u okviru PMEF-a (</w:t>
      </w:r>
      <w:proofErr w:type="spellStart"/>
      <w:r w:rsidRPr="002D322D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Pr="002D32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322D">
        <w:rPr>
          <w:rFonts w:ascii="Times New Roman" w:hAnsi="Times New Roman" w:cs="Times New Roman"/>
          <w:sz w:val="24"/>
          <w:szCs w:val="24"/>
        </w:rPr>
        <w:t>indicators</w:t>
      </w:r>
      <w:proofErr w:type="spellEnd"/>
      <w:r w:rsidRPr="002D322D">
        <w:rPr>
          <w:rFonts w:ascii="Times New Roman" w:hAnsi="Times New Roman" w:cs="Times New Roman"/>
          <w:sz w:val="24"/>
          <w:szCs w:val="24"/>
        </w:rPr>
        <w:t>) 4 doprinos rezultatu R.41 bilježi sve stanovnike naselja na području LAG-a (koji provodi LAG natječaj) gdje se provode aktivnosti ulaganja ili nematerijalne tzv. „</w:t>
      </w:r>
      <w:proofErr w:type="spellStart"/>
      <w:r w:rsidRPr="002D322D">
        <w:rPr>
          <w:rFonts w:ascii="Times New Roman" w:hAnsi="Times New Roman" w:cs="Times New Roman"/>
          <w:sz w:val="24"/>
          <w:szCs w:val="24"/>
        </w:rPr>
        <w:t>soft</w:t>
      </w:r>
      <w:proofErr w:type="spellEnd"/>
      <w:r w:rsidRPr="002D322D">
        <w:rPr>
          <w:rFonts w:ascii="Times New Roman" w:hAnsi="Times New Roman" w:cs="Times New Roman"/>
          <w:sz w:val="24"/>
          <w:szCs w:val="24"/>
        </w:rPr>
        <w:t>“ aktivnosti, pri čemu je potrebno izbjegavati dvostruko brojanje. Ukoliko se različite aktivnosti odvijaju u jednom naselju</w:t>
      </w:r>
      <w:r w:rsidR="0027427D" w:rsidRPr="002D322D">
        <w:rPr>
          <w:rFonts w:ascii="Times New Roman" w:hAnsi="Times New Roman" w:cs="Times New Roman"/>
          <w:sz w:val="24"/>
          <w:szCs w:val="24"/>
        </w:rPr>
        <w:t>, broj stanovnika se broji samo jednom</w:t>
      </w:r>
      <w:r w:rsidR="004743A4" w:rsidRPr="002D322D">
        <w:rPr>
          <w:rFonts w:ascii="Times New Roman" w:hAnsi="Times New Roman" w:cs="Times New Roman"/>
          <w:sz w:val="24"/>
          <w:szCs w:val="24"/>
        </w:rPr>
        <w:t>.</w:t>
      </w:r>
      <w:r w:rsidR="0027427D" w:rsidRPr="002D322D">
        <w:rPr>
          <w:rFonts w:ascii="Times New Roman" w:hAnsi="Times New Roman" w:cs="Times New Roman"/>
          <w:sz w:val="24"/>
          <w:szCs w:val="24"/>
        </w:rPr>
        <w:t xml:space="preserve"> Ukoliko se aktivnosti odvijaju u više naselja na području LAG-a, broj stanovnika se zbraja.</w:t>
      </w:r>
    </w:p>
    <w:sectPr w:rsidR="00B57D8A" w:rsidRPr="002D322D">
      <w:head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8EAAD" w14:textId="77777777" w:rsidR="00A741DA" w:rsidRDefault="00A741DA">
      <w:pPr>
        <w:spacing w:after="0" w:line="240" w:lineRule="auto"/>
      </w:pPr>
      <w:r>
        <w:separator/>
      </w:r>
    </w:p>
  </w:endnote>
  <w:endnote w:type="continuationSeparator" w:id="0">
    <w:p w14:paraId="456FE4EF" w14:textId="77777777" w:rsidR="00A741DA" w:rsidRDefault="00A74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294EC94-2AD9-4DE8-8D68-4268BACD9073}"/>
    <w:embedBold r:id="rId2" w:fontKey="{4809A2D5-4652-4532-B31E-1191A0298BF8}"/>
    <w:embedItalic r:id="rId3" w:fontKey="{00171DB2-F6E1-44DF-BA7A-A2921FFECC2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072202F-645D-432E-ABF0-2D3544CD1A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0DB7401D-A88A-40D8-8B2E-F753D29B32E1}"/>
    <w:embedBold r:id="rId6" w:fontKey="{FA6DEC4D-7607-42C7-BB33-27E14A645E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DFC10" w14:textId="77777777" w:rsidR="00A741DA" w:rsidRDefault="00A741DA">
      <w:pPr>
        <w:spacing w:after="0" w:line="240" w:lineRule="auto"/>
      </w:pPr>
      <w:r>
        <w:separator/>
      </w:r>
    </w:p>
  </w:footnote>
  <w:footnote w:type="continuationSeparator" w:id="0">
    <w:p w14:paraId="39DBDAC2" w14:textId="77777777" w:rsidR="00A741DA" w:rsidRDefault="00A741DA">
      <w:pPr>
        <w:spacing w:after="0" w:line="240" w:lineRule="auto"/>
      </w:pPr>
      <w:r>
        <w:continuationSeparator/>
      </w:r>
    </w:p>
  </w:footnote>
  <w:footnote w:id="1">
    <w:p w14:paraId="1B234980" w14:textId="5C40F05F" w:rsidR="004743A4" w:rsidRDefault="004743A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4743A4">
          <w:rPr>
            <w:rStyle w:val="Hyperlink"/>
          </w:rPr>
          <w:t>https://agriculture.ec.europa.eu/system/files/2023-09/pmef-result-indicators_en.pdf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F08FE" w14:textId="77777777" w:rsidR="00B57D8A" w:rsidRDefault="004C2BB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A1C5DBF" wp14:editId="1DA4E3E2">
          <wp:simplePos x="0" y="0"/>
          <wp:positionH relativeFrom="margin">
            <wp:posOffset>3644265</wp:posOffset>
          </wp:positionH>
          <wp:positionV relativeFrom="margin">
            <wp:posOffset>-1000125</wp:posOffset>
          </wp:positionV>
          <wp:extent cx="995363" cy="995363"/>
          <wp:effectExtent l="0" t="0" r="0" b="0"/>
          <wp:wrapSquare wrapText="bothSides" distT="114300" distB="114300" distL="114300" distR="114300"/>
          <wp:docPr id="163656802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5363" cy="995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B0C578D" wp14:editId="3387A9EB">
          <wp:simplePos x="0" y="0"/>
          <wp:positionH relativeFrom="page">
            <wp:posOffset>680085</wp:posOffset>
          </wp:positionH>
          <wp:positionV relativeFrom="page">
            <wp:posOffset>472542</wp:posOffset>
          </wp:positionV>
          <wp:extent cx="3668383" cy="600075"/>
          <wp:effectExtent l="0" t="0" r="0" b="0"/>
          <wp:wrapSquare wrapText="bothSides" distT="114300" distB="114300" distL="114300" distR="114300"/>
          <wp:docPr id="16365680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68383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6"/>
      <w:tblpPr w:leftFromText="181" w:rightFromText="181" w:vertAnchor="text" w:tblpX="8143" w:tblpY="1"/>
      <w:tblW w:w="121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215"/>
    </w:tblGrid>
    <w:tr w:rsidR="00B57D8A" w14:paraId="4D36E93B" w14:textId="77777777">
      <w:tc>
        <w:tcPr>
          <w:tcW w:w="1215" w:type="dxa"/>
          <w:vAlign w:val="center"/>
        </w:tcPr>
        <w:p w14:paraId="6FE8B364" w14:textId="77777777" w:rsidR="00B57D8A" w:rsidRDefault="004C2BB0">
          <w:pPr>
            <w:jc w:val="center"/>
            <w:rPr>
              <w:rFonts w:ascii="Arial Narrow" w:eastAsia="Arial Narrow" w:hAnsi="Arial Narrow" w:cs="Arial Narrow"/>
              <w:b/>
            </w:rPr>
          </w:pPr>
          <w:r>
            <w:rPr>
              <w:rFonts w:ascii="Arial Narrow" w:eastAsia="Arial Narrow" w:hAnsi="Arial Narrow" w:cs="Arial Narrow"/>
              <w:b/>
            </w:rPr>
            <w:t>Prilog 2.</w:t>
          </w:r>
        </w:p>
      </w:tc>
    </w:tr>
  </w:tbl>
  <w:p w14:paraId="4E9E5779" w14:textId="77777777" w:rsidR="00B57D8A" w:rsidRDefault="00B57D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2B8E8B09" w14:textId="77777777" w:rsidR="00B57D8A" w:rsidRDefault="00B57D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6E38EA"/>
    <w:multiLevelType w:val="multilevel"/>
    <w:tmpl w:val="4A84F7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EC85EC2"/>
    <w:multiLevelType w:val="multilevel"/>
    <w:tmpl w:val="2B1A0D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37935237">
    <w:abstractNumId w:val="0"/>
  </w:num>
  <w:num w:numId="2" w16cid:durableId="480266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D8A"/>
    <w:rsid w:val="0027427D"/>
    <w:rsid w:val="002D322D"/>
    <w:rsid w:val="00304706"/>
    <w:rsid w:val="003D7DEE"/>
    <w:rsid w:val="004743A4"/>
    <w:rsid w:val="004C2BB0"/>
    <w:rsid w:val="008A1CE0"/>
    <w:rsid w:val="00A741DA"/>
    <w:rsid w:val="00AD5466"/>
    <w:rsid w:val="00B57D8A"/>
    <w:rsid w:val="00C43608"/>
    <w:rsid w:val="00D45E1D"/>
    <w:rsid w:val="00E87429"/>
    <w:rsid w:val="00F0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6CC76"/>
  <w15:docId w15:val="{6BE32CEE-368D-46B8-9ACB-24ECC11F4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20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20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20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20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20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20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20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20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20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7720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7720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20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20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200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200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20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20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20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200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720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20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20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20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20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200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20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200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200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25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50D"/>
  </w:style>
  <w:style w:type="paragraph" w:styleId="Footer">
    <w:name w:val="footer"/>
    <w:basedOn w:val="Normal"/>
    <w:link w:val="FooterChar"/>
    <w:uiPriority w:val="99"/>
    <w:unhideWhenUsed/>
    <w:rsid w:val="00B25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50D"/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90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0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0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0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0FC3"/>
    <w:rPr>
      <w:b/>
      <w:bCs/>
      <w:sz w:val="20"/>
      <w:szCs w:val="20"/>
    </w:r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4743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43A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43A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743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43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https://agriculture.ec.europa.eu/system/files/2023-09/pmef-result-indicators_en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+eByKaDgxJnVKmwbDBH4IktJ4Q==">CgMxLjA4AHIhMTdicWVVdVF1cWtCSUxVOUZ1dkk0ZUJNSjdhY056bVZ1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62CB89-F1EF-48F3-8D43-8AF4E75B5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 Krnić</dc:creator>
  <cp:lastModifiedBy>Meri Krnić</cp:lastModifiedBy>
  <cp:revision>7</cp:revision>
  <dcterms:created xsi:type="dcterms:W3CDTF">2025-04-14T10:19:00Z</dcterms:created>
  <dcterms:modified xsi:type="dcterms:W3CDTF">2026-01-23T08:41:00Z</dcterms:modified>
</cp:coreProperties>
</file>