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8B63E" w14:textId="77777777" w:rsidR="00477123" w:rsidRDefault="0047712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E44C8E" w14:textId="77777777" w:rsidR="00477123" w:rsidRDefault="00B61F6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PRILOG 3. Ciljevi LRS LAG-a, uključujući dodanu vrijednost</w:t>
      </w:r>
    </w:p>
    <w:p w14:paraId="6059C0DF" w14:textId="77777777" w:rsidR="00477123" w:rsidRDefault="00B61F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t>Sadržaj</w:t>
      </w:r>
    </w:p>
    <w:sdt>
      <w:sdtPr>
        <w:id w:val="-1966422519"/>
        <w:docPartObj>
          <w:docPartGallery w:val="Table of Contents"/>
          <w:docPartUnique/>
        </w:docPartObj>
      </w:sdtPr>
      <w:sdtEndPr/>
      <w:sdtContent>
        <w:p w14:paraId="6E490A51" w14:textId="77777777" w:rsidR="00477123" w:rsidRDefault="00B61F6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nsskvyylc8kd">
            <w:r>
              <w:rPr>
                <w:rFonts w:ascii="Times New Roman" w:eastAsia="Times New Roman" w:hAnsi="Times New Roman" w:cs="Times New Roman"/>
                <w:color w:val="000000"/>
              </w:rPr>
              <w:t>Opći i specifični ciljevi LRS LAG-a „MORE 249“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</w:t>
            </w:r>
          </w:hyperlink>
        </w:p>
        <w:p w14:paraId="031DC76E" w14:textId="77777777" w:rsidR="00477123" w:rsidRDefault="00B61F6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xd5q0wh5221">
            <w:r>
              <w:rPr>
                <w:rFonts w:ascii="Times New Roman" w:eastAsia="Times New Roman" w:hAnsi="Times New Roman" w:cs="Times New Roman"/>
                <w:color w:val="000000"/>
              </w:rPr>
              <w:t>Opći cilj LRS, Specifični cilj LRS, Potrebe, Intervencije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5</w:t>
            </w:r>
          </w:hyperlink>
        </w:p>
        <w:p w14:paraId="28788022" w14:textId="77777777" w:rsidR="00477123" w:rsidRDefault="00B61F6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9itkic7xusjl">
            <w:r>
              <w:rPr>
                <w:rFonts w:ascii="Times New Roman" w:eastAsia="Times New Roman" w:hAnsi="Times New Roman" w:cs="Times New Roman"/>
                <w:color w:val="000000"/>
              </w:rPr>
              <w:t>Pregled Općih i Specifičnih ciljeva LRS-a „LAG-a „More 249“ u odnosu na ciljeve SP ZPP-a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6</w:t>
            </w:r>
          </w:hyperlink>
        </w:p>
        <w:p w14:paraId="31D86289" w14:textId="77777777" w:rsidR="00477123" w:rsidRDefault="00B61F6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katuobm5bfzm">
            <w:r>
              <w:rPr>
                <w:rFonts w:ascii="Times New Roman" w:eastAsia="Times New Roman" w:hAnsi="Times New Roman" w:cs="Times New Roman"/>
                <w:color w:val="000000"/>
              </w:rPr>
              <w:t>Prikaz kriterija na temelju kojih projekti iz intervencije doprinose provedbi koncepta Pametnih sela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6</w:t>
            </w:r>
          </w:hyperlink>
          <w:r>
            <w:fldChar w:fldCharType="end"/>
          </w:r>
        </w:p>
      </w:sdtContent>
    </w:sdt>
    <w:p w14:paraId="5548E581" w14:textId="77777777" w:rsidR="00477123" w:rsidRDefault="0047712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99677E" w14:textId="77777777" w:rsidR="00477123" w:rsidRDefault="00B61F60">
      <w:pPr>
        <w:rPr>
          <w:rFonts w:ascii="Times New Roman" w:eastAsia="Times New Roman" w:hAnsi="Times New Roman" w:cs="Times New Roman"/>
          <w:color w:val="2F5496"/>
          <w:sz w:val="32"/>
          <w:szCs w:val="32"/>
        </w:rPr>
      </w:pPr>
      <w:r>
        <w:br w:type="page"/>
      </w:r>
    </w:p>
    <w:p w14:paraId="6024409C" w14:textId="77777777" w:rsidR="00477123" w:rsidRDefault="00477123">
      <w:pPr>
        <w:pStyle w:val="Heading2"/>
        <w:rPr>
          <w:rFonts w:ascii="Times New Roman" w:eastAsia="Times New Roman" w:hAnsi="Times New Roman" w:cs="Times New Roman"/>
        </w:rPr>
      </w:pPr>
    </w:p>
    <w:p w14:paraId="69CF99D4" w14:textId="77777777" w:rsidR="00477123" w:rsidRDefault="00B61F60">
      <w:pPr>
        <w:pStyle w:val="Heading2"/>
        <w:rPr>
          <w:rFonts w:ascii="Times New Roman" w:eastAsia="Times New Roman" w:hAnsi="Times New Roman" w:cs="Times New Roman"/>
        </w:rPr>
      </w:pPr>
      <w:bookmarkStart w:id="0" w:name="_heading=h.nsskvyylc8kd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Opći i specifični ciljevi LRS LAG-a „MORE 249“</w:t>
      </w:r>
    </w:p>
    <w:p w14:paraId="5C4D4F34" w14:textId="77777777" w:rsidR="00477123" w:rsidRDefault="00477123">
      <w:pPr>
        <w:keepNext/>
        <w:keepLines/>
        <w:spacing w:before="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90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260"/>
        <w:gridCol w:w="1728"/>
        <w:gridCol w:w="2669"/>
      </w:tblGrid>
      <w:tr w:rsidR="00477123" w14:paraId="16940F7A" w14:textId="77777777">
        <w:trPr>
          <w:trHeight w:val="19"/>
        </w:trPr>
        <w:tc>
          <w:tcPr>
            <w:tcW w:w="1418" w:type="dxa"/>
            <w:shd w:val="clear" w:color="auto" w:fill="B4C6E7"/>
          </w:tcPr>
          <w:p w14:paraId="1CE45B07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heading=h.5yln4uu25koe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Naziv općeg cilja</w:t>
            </w:r>
          </w:p>
        </w:tc>
        <w:tc>
          <w:tcPr>
            <w:tcW w:w="3260" w:type="dxa"/>
            <w:shd w:val="clear" w:color="auto" w:fill="B4C6E7"/>
          </w:tcPr>
          <w:p w14:paraId="7F84ECE9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Kratki opis općeg cilja</w:t>
            </w:r>
          </w:p>
        </w:tc>
        <w:tc>
          <w:tcPr>
            <w:tcW w:w="1728" w:type="dxa"/>
            <w:shd w:val="clear" w:color="auto" w:fill="B4C6E7"/>
          </w:tcPr>
          <w:p w14:paraId="2981B0E4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Naziv specifičnog cilja</w:t>
            </w:r>
          </w:p>
        </w:tc>
        <w:tc>
          <w:tcPr>
            <w:tcW w:w="2669" w:type="dxa"/>
            <w:shd w:val="clear" w:color="auto" w:fill="B4C6E7"/>
          </w:tcPr>
          <w:p w14:paraId="6F6BD33F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Kratki opis specifičnog cilja</w:t>
            </w:r>
          </w:p>
        </w:tc>
      </w:tr>
      <w:tr w:rsidR="00477123" w14:paraId="36D9180F" w14:textId="77777777" w:rsidTr="00F91D8D">
        <w:trPr>
          <w:trHeight w:val="19"/>
        </w:trPr>
        <w:tc>
          <w:tcPr>
            <w:tcW w:w="1418" w:type="dxa"/>
            <w:vAlign w:val="center"/>
          </w:tcPr>
          <w:p w14:paraId="49226AE6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 1. Poticanje rasta, razvoja i zapošljavanja u sektoru poljoprivrede</w:t>
            </w:r>
          </w:p>
        </w:tc>
        <w:tc>
          <w:tcPr>
            <w:tcW w:w="3260" w:type="dxa"/>
            <w:vAlign w:val="center"/>
          </w:tcPr>
          <w:p w14:paraId="486BE082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PG-ovi trebaju iskorak na tržište kroz potpore ulaganja u novu, moderniju opremu s ciljem poboljšanja i povećanja prinosa, ali i stvaranja preduvjeta za razvoj postojećih djelatnosti. U budućem razdoblju upravo „profesionalizacija“ poljoprivrednika trebala bi potaknuti unaprjeđenje i rast poljoprivrednih gospodarstava i stvoriti preduvjete kako bi se  zadržalo postojeće ili stvorilo novo radno mjesto.</w:t>
            </w:r>
          </w:p>
        </w:tc>
        <w:tc>
          <w:tcPr>
            <w:tcW w:w="1728" w:type="dxa"/>
            <w:vAlign w:val="center"/>
          </w:tcPr>
          <w:p w14:paraId="6D90A4BB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 1.1. Povećanje konkurentnosti i održivosti uz modernizaciju i razvoj  postojećih usluga  na poljoprivrednom gospodarstvu</w:t>
            </w:r>
          </w:p>
        </w:tc>
        <w:tc>
          <w:tcPr>
            <w:tcW w:w="2669" w:type="dxa"/>
            <w:vAlign w:val="center"/>
          </w:tcPr>
          <w:p w14:paraId="610C7B0A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Osim profesionalizacije u svim oblicima važno je potaknuti poljoprivrednike na uvođenje modernih i tehnološki naprednih alata i opreme u proizvodnji te razvijanje djelatnosti radi postizanja ravnoteže. S obzirom na to da zapošljavanje ovisi o puno faktora, ostvarenjem specifičnog cilj omogućit će se veći učinak usporedno s ili bez porasta broja zaposlenih.</w:t>
            </w:r>
          </w:p>
        </w:tc>
      </w:tr>
      <w:tr w:rsidR="00477123" w14:paraId="31A04C31" w14:textId="77777777" w:rsidTr="00F91D8D">
        <w:trPr>
          <w:trHeight w:val="19"/>
        </w:trPr>
        <w:tc>
          <w:tcPr>
            <w:tcW w:w="1418" w:type="dxa"/>
            <w:vMerge w:val="restart"/>
            <w:shd w:val="clear" w:color="auto" w:fill="C5E0B3" w:themeFill="accent6" w:themeFillTint="66"/>
            <w:vAlign w:val="center"/>
          </w:tcPr>
          <w:p w14:paraId="417CC0BB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 2.  Povećanje atraktivnosti ruralnog prostora kroz raznolikost sadržaja i promociju kulturne baštine i gastronomije</w:t>
            </w:r>
          </w:p>
        </w:tc>
        <w:tc>
          <w:tcPr>
            <w:tcW w:w="3260" w:type="dxa"/>
            <w:vMerge w:val="restart"/>
            <w:shd w:val="clear" w:color="auto" w:fill="C5E0B3" w:themeFill="accent6" w:themeFillTint="66"/>
            <w:vAlign w:val="center"/>
          </w:tcPr>
          <w:p w14:paraId="69FA9222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Funkcionalnost i pristupačnost društvene i turističke infrastrukture lokanom stanovništvu, kao i posjetiteljima i turistima važno je oplemenjivati  kroz povećanje dostupnosti i kvalitete različitih sadržaja.</w:t>
            </w:r>
          </w:p>
          <w:p w14:paraId="4CC51823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Kako bi vrijedni proizvodi i sam ruralni prostor imao mogućnosti bolje prodaje i bolje posječenosti te stvarao veću vrijednost i prihode ljudima koji na njemu žive, potrebno je promovirati lokalnu gastronomiju, ali i kulturnu baštinu te kako je ranije naglašeno iste poticati tokom cijele sezone. Isto bi omogućilo da se osim manifestacija koje se odvijaju ljeti, manifestacijama izvan sezone pridonese proširenju turističke sezone.</w:t>
            </w:r>
          </w:p>
        </w:tc>
        <w:tc>
          <w:tcPr>
            <w:tcW w:w="1728" w:type="dxa"/>
            <w:vAlign w:val="center"/>
          </w:tcPr>
          <w:p w14:paraId="403BE53C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 2.1. Unapređenje ruralne infrastrukture</w:t>
            </w:r>
          </w:p>
        </w:tc>
        <w:tc>
          <w:tcPr>
            <w:tcW w:w="2669" w:type="dxa"/>
            <w:vAlign w:val="center"/>
          </w:tcPr>
          <w:p w14:paraId="54D60590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Veći broj različitih sadržaja i dostupne javne infrastrukture s iskorištenim potencijalom povećat će atraktivnost ruralnog prostora.</w:t>
            </w:r>
          </w:p>
        </w:tc>
      </w:tr>
      <w:tr w:rsidR="00477123" w14:paraId="7463D397" w14:textId="77777777" w:rsidTr="00F91D8D">
        <w:trPr>
          <w:trHeight w:val="19"/>
        </w:trPr>
        <w:tc>
          <w:tcPr>
            <w:tcW w:w="1418" w:type="dxa"/>
            <w:vMerge/>
            <w:shd w:val="clear" w:color="auto" w:fill="C5E0B3" w:themeFill="accent6" w:themeFillTint="66"/>
            <w:vAlign w:val="center"/>
          </w:tcPr>
          <w:p w14:paraId="6D97B656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C5E0B3" w:themeFill="accent6" w:themeFillTint="66"/>
            <w:vAlign w:val="center"/>
          </w:tcPr>
          <w:p w14:paraId="703AE678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8" w:type="dxa"/>
            <w:shd w:val="clear" w:color="auto" w:fill="C5E0B3" w:themeFill="accent6" w:themeFillTint="66"/>
            <w:vAlign w:val="center"/>
          </w:tcPr>
          <w:p w14:paraId="1EA872B8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 3.1. Jačanje identiteta i promocija LAG područja</w:t>
            </w:r>
          </w:p>
        </w:tc>
        <w:tc>
          <w:tcPr>
            <w:tcW w:w="2669" w:type="dxa"/>
            <w:shd w:val="clear" w:color="auto" w:fill="C5E0B3" w:themeFill="accent6" w:themeFillTint="66"/>
            <w:vAlign w:val="center"/>
          </w:tcPr>
          <w:p w14:paraId="3F45D0B0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Većim brojem manifestacija i promocijom kulturne baštine ruralnog prostora kroz nabavku moderne opreme omogućit će se sinergijski učinak s proizvodnjom na prostoru LAG-a „More249“.</w:t>
            </w:r>
          </w:p>
        </w:tc>
      </w:tr>
    </w:tbl>
    <w:p w14:paraId="34B93806" w14:textId="77777777" w:rsidR="00477123" w:rsidRDefault="004771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ib6lr6fg5pub" w:colFirst="0" w:colLast="0"/>
      <w:bookmarkEnd w:id="2"/>
    </w:p>
    <w:p w14:paraId="40A714DF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Postavljena su dva opća cilja u okviru kojih imamo tri specifična cilja. Opći ciljevi usklađeni su sa strateškim ciljevima Zajedničke poljoprivredne politike.</w:t>
      </w:r>
    </w:p>
    <w:p w14:paraId="64D88EEB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OC 1. Poticanje rasta, razvoja i zapošljavanja u sektoru poljoprivrede</w:t>
      </w:r>
    </w:p>
    <w:p w14:paraId="36E572AB" w14:textId="77777777" w:rsidR="00E44F8E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Ovim općim ciljem LAG „More 249“ želi doprinijeti horizontalnom (međusektorskom) cilju ZPP-a. Veliki broj poljoprivrednih gospodarstava na LAG području s izraženom starosnom strukturom ukazuje na potrebu za modernizacijom, ulaganjem u digitalizaciju i razvoj </w:t>
      </w:r>
    </w:p>
    <w:p w14:paraId="37F9EE00" w14:textId="77777777" w:rsidR="00E44F8E" w:rsidRDefault="00E44F8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FBA64" w14:textId="1B6CCCCF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postojećih usluga čime bi se osigurala stabilnost dohotka i zadržavanje postojećih i/ili novih radnih mjesta. Osim većeg broja malih poljoprivrednih gospodarstava, prisutan je određen broj srednjih i velikih gospodarstva koji su spremniji na inovacije i digitalizaciju u poljoprivredi. </w:t>
      </w:r>
    </w:p>
    <w:p w14:paraId="21CE732F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Ovaj cilj je mjerljiv brojem očuvanih i novostvorenih radnih mjesta te povećanom ekonomskom veličinom PG-a što će ujedno biti postavljeno kroz kriterije za bodovanje.</w:t>
      </w:r>
    </w:p>
    <w:p w14:paraId="08259849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Uz ovaj opći cilj kao specifičan cilj postavljen je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SC 1.1.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Povećanje konkurentnosti i održivosti uz modernizaciju i razvoj  postojećih usluga  na poljoprivrednom gospodarstvu.</w:t>
      </w:r>
    </w:p>
    <w:p w14:paraId="254FE391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Osim zapošljavanja, smatra se da je važno da poljoprivrednici ulažu u moderne alate i opremu u proizvodnji. Tako bi se zadovoljavanjem ovog specifičnog cilja stvorili preduvjeti za brži razvoj i održive prihode. Ovdje se osim modernizacije, naglašava moguće postavljanje kriterija kojima se dosežu i horizontalni ciljevi Strateškog plana Zajedničke poljoprivredne politike Republike Hrvatske, a to je digitalizacija. Upravo za isto je istaknut interes poljoprivrednika naročito onih mlađih, na radionicama za izradu ove LRS. Uz samo moderniziranje važno je razvijati postojeće usluge na poljoprivrednim gospodarstvima. </w:t>
      </w:r>
    </w:p>
    <w:p w14:paraId="04D9EA40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OC 2.  Povećanje atraktivnosti ruralnog prostora kroz raznolikost sadržaja i promociju kulturne baštine i gastronomije</w:t>
      </w:r>
    </w:p>
    <w:p w14:paraId="36FC520C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Općim ciljem 2. želi se doprinijeti razvoju ruralnog prostora, njegovoj atraktivnosti, boljoj prepoznatljivosti i jačanju identiteta područja. Kako bi se povećala dostupnost sadržaja, potrebno je unaprijediti društvenu i turističku infrastrukturu, kao i urediti javne zelene površine i drugi sadržaj koji bi bio dostupan lokalnom stanovništvu. Osim toga, potrebno je jače djelovati na svijest i brigu lokalnog stanovništvo, upoznati ih s kulturnom baštinom, tradicijom i gastronomijom te različitim tematskim aktivnostima djelovati na produženje turističke sezone. </w:t>
      </w:r>
    </w:p>
    <w:p w14:paraId="08E46410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Ovaj opći cilj prate dva specifična cilja:</w:t>
      </w:r>
    </w:p>
    <w:p w14:paraId="3CDF7B27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SC 2. Unapređenje ruralne infrastrukture </w:t>
      </w:r>
      <w:r>
        <w:rPr>
          <w:rFonts w:ascii="Times New Roman" w:eastAsia="Times New Roman" w:hAnsi="Times New Roman" w:cs="Times New Roman"/>
          <w:sz w:val="24"/>
          <w:szCs w:val="24"/>
        </w:rPr>
        <w:t>odnosi se na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stvaranje boljih uvjeta života lokalnog stanovništva u vidu unapređenja infrastrukture koja zadovoljava njihove potrebe i osigurava bolju kvalitetu života. </w:t>
      </w:r>
    </w:p>
    <w:p w14:paraId="648449A1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SC 3. Jačanje identiteta i promocija LAG područja</w:t>
      </w:r>
    </w:p>
    <w:p w14:paraId="420983C0" w14:textId="77777777" w:rsidR="00477123" w:rsidRDefault="00B61F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Većim brojem manifestacija i promocijom kulturne baštine ruralnog prostora omogućit će se sinergijski učinak s proizvodnjom na prostoru LAG-a „More249“. Stoga bi se mjerio broj manifestacija, ali i njihova dužina, periodičnost kako bi se potaklo stalne sadržaje na području. </w:t>
      </w:r>
    </w:p>
    <w:p w14:paraId="02102390" w14:textId="77777777" w:rsidR="00477123" w:rsidRDefault="00B61F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dttt5quh5xn0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Kombinacijom dva opća cilja te tri specifična cilja LAG jasno i konkretno usmjerava svoj rad  na zadovoljavanje ključnih potreba na svom području. U odnosu na dostupna sredstva za LAG omogućit će se jača usmjerenost i mjerljivi rezultati.</w:t>
      </w:r>
    </w:p>
    <w:p w14:paraId="4030F160" w14:textId="77777777" w:rsidR="00477123" w:rsidRDefault="00477123">
      <w:pPr>
        <w:rPr>
          <w:rFonts w:ascii="Times New Roman" w:eastAsia="Times New Roman" w:hAnsi="Times New Roman" w:cs="Times New Roman"/>
          <w:i/>
        </w:rPr>
      </w:pPr>
    </w:p>
    <w:p w14:paraId="30A8D435" w14:textId="77777777" w:rsidR="00477123" w:rsidRDefault="00477123">
      <w:pPr>
        <w:shd w:val="clear" w:color="auto" w:fill="E2EFD9"/>
        <w:rPr>
          <w:rFonts w:ascii="Times New Roman" w:eastAsia="Times New Roman" w:hAnsi="Times New Roman" w:cs="Times New Roman"/>
          <w:i/>
        </w:rPr>
      </w:pPr>
    </w:p>
    <w:p w14:paraId="57E1C80C" w14:textId="77777777" w:rsidR="00477123" w:rsidRDefault="00B61F60">
      <w:pPr>
        <w:shd w:val="clear" w:color="auto" w:fill="E2EFD9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sve intervencije putem LAG natječaja postavit će se kriteriji bodovanja koji će biti usmjereni doprinosu koncepta „Pametna sela“ te će se dodatno bodovati projekti koji uključuju inovativnost, digitalizaciju i usmjereni su na ublažavanje klimatskih promjena i zaštitu okoliša.</w:t>
      </w:r>
    </w:p>
    <w:p w14:paraId="0BC4698D" w14:textId="77777777" w:rsidR="00477123" w:rsidRDefault="00477123">
      <w:pPr>
        <w:jc w:val="both"/>
        <w:rPr>
          <w:rFonts w:ascii="Times New Roman" w:eastAsia="Times New Roman" w:hAnsi="Times New Roman" w:cs="Times New Roman"/>
          <w:b/>
        </w:rPr>
      </w:pPr>
    </w:p>
    <w:p w14:paraId="0911FD00" w14:textId="77777777" w:rsidR="00477123" w:rsidRDefault="00477123">
      <w:pPr>
        <w:jc w:val="both"/>
        <w:rPr>
          <w:rFonts w:ascii="Times New Roman" w:eastAsia="Times New Roman" w:hAnsi="Times New Roman" w:cs="Times New Roman"/>
          <w:b/>
        </w:rPr>
      </w:pPr>
    </w:p>
    <w:p w14:paraId="12239403" w14:textId="3BD36334" w:rsidR="00477123" w:rsidRDefault="00B61F60">
      <w:pPr>
        <w:shd w:val="clear" w:color="auto" w:fill="E2EFD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Cilj LRS LAG-a „More 249“ i dodane vrijednosti koji se odnose na intervenciju 3.1.1. Potpora aktivnostima promocije lokalne gastronomije i kulturne baštine </w:t>
      </w:r>
    </w:p>
    <w:p w14:paraId="39658E00" w14:textId="355FA8DF" w:rsidR="00B61F60" w:rsidRDefault="00B61F60">
      <w:pPr>
        <w:jc w:val="both"/>
        <w:rPr>
          <w:rFonts w:ascii="Times New Roman" w:eastAsia="Times New Roman" w:hAnsi="Times New Roman" w:cs="Times New Roman"/>
          <w:b/>
        </w:rPr>
      </w:pPr>
      <w:bookmarkStart w:id="4" w:name="_heading=h.tfyiu7nhtn93" w:colFirst="0" w:colLast="0"/>
      <w:bookmarkEnd w:id="4"/>
      <w:r>
        <w:rPr>
          <w:rFonts w:ascii="Times New Roman" w:hAnsi="Times New Roman" w:cs="Times New Roman"/>
        </w:rPr>
        <w:t>I</w:t>
      </w:r>
      <w:r w:rsidRPr="00435B8C">
        <w:rPr>
          <w:rFonts w:ascii="Times New Roman" w:hAnsi="Times New Roman" w:cs="Times New Roman"/>
        </w:rPr>
        <w:t xml:space="preserve">ntervencija odgovara na potrebu </w:t>
      </w:r>
      <w:bookmarkStart w:id="5" w:name="_Hlk192840744"/>
      <w:r w:rsidRPr="00435B8C">
        <w:rPr>
          <w:rFonts w:ascii="Times New Roman" w:hAnsi="Times New Roman" w:cs="Times New Roman"/>
        </w:rPr>
        <w:t>P 3. Jačanje promocije lokalne gastronomije i kulturne materijalne i nematerijalne baštine</w:t>
      </w:r>
      <w:bookmarkEnd w:id="5"/>
      <w:r w:rsidRPr="00435B8C">
        <w:rPr>
          <w:rFonts w:ascii="Times New Roman" w:hAnsi="Times New Roman" w:cs="Times New Roman"/>
        </w:rPr>
        <w:t xml:space="preserve"> koja je istaknuta na radionicama za izradu LRS</w:t>
      </w:r>
      <w:r>
        <w:rPr>
          <w:rFonts w:ascii="Times New Roman" w:hAnsi="Times New Roman" w:cs="Times New Roman"/>
        </w:rPr>
        <w:t>-a</w:t>
      </w:r>
      <w:r w:rsidRPr="004411A2">
        <w:rPr>
          <w:rFonts w:ascii="Times New Roman" w:hAnsi="Times New Roman" w:cs="Times New Roman"/>
        </w:rPr>
        <w:t>. Kroz izradu SWOT analize istaknuti su potencijali LAG području u vidu bogate kulturne baštine i lokalne gastronomije, ali i mogućnosti za napredak, produženje sezone i stvaranje novog brenda po kojem bi područje bilo prepoznatljivo. Brojni dionici iz sektora turizma</w:t>
      </w:r>
      <w:r>
        <w:rPr>
          <w:rFonts w:ascii="Times New Roman" w:hAnsi="Times New Roman" w:cs="Times New Roman"/>
          <w:color w:val="70AD47" w:themeColor="accent6"/>
        </w:rPr>
        <w:t xml:space="preserve">, </w:t>
      </w:r>
      <w:r w:rsidRPr="004411A2">
        <w:rPr>
          <w:rFonts w:ascii="Times New Roman" w:hAnsi="Times New Roman" w:cs="Times New Roman"/>
        </w:rPr>
        <w:t>kul</w:t>
      </w:r>
      <w:r>
        <w:rPr>
          <w:rFonts w:ascii="Times New Roman" w:hAnsi="Times New Roman" w:cs="Times New Roman"/>
        </w:rPr>
        <w:t>tu</w:t>
      </w:r>
      <w:r w:rsidRPr="004411A2">
        <w:rPr>
          <w:rFonts w:ascii="Times New Roman" w:hAnsi="Times New Roman" w:cs="Times New Roman"/>
        </w:rPr>
        <w:t>re i gastronomije iskazali su želju za ulaganjima i promociju kraja u kojem djeluju</w:t>
      </w:r>
    </w:p>
    <w:p w14:paraId="4FF46711" w14:textId="3F016107" w:rsidR="00B61F60" w:rsidRDefault="00B61F6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</w:rPr>
        <w:t>Intervencija d</w:t>
      </w:r>
      <w:r w:rsidRPr="00435B8C">
        <w:rPr>
          <w:rFonts w:ascii="Times New Roman" w:hAnsi="Times New Roman" w:cs="Times New Roman"/>
        </w:rPr>
        <w:t xml:space="preserve">oprinosi </w:t>
      </w:r>
      <w:r w:rsidRPr="00435B8C">
        <w:rPr>
          <w:rFonts w:ascii="Times New Roman" w:hAnsi="Times New Roman" w:cs="Times New Roman"/>
          <w:b/>
        </w:rPr>
        <w:t xml:space="preserve">Općem cilju 2. Povećanje atraktivnosti ruralnog prostora kroz raznolikost sadržaja </w:t>
      </w:r>
      <w:r>
        <w:rPr>
          <w:rFonts w:ascii="Times New Roman" w:hAnsi="Times New Roman" w:cs="Times New Roman"/>
          <w:b/>
        </w:rPr>
        <w:t>i</w:t>
      </w:r>
      <w:r w:rsidRPr="00435B8C">
        <w:rPr>
          <w:rFonts w:ascii="Times New Roman" w:hAnsi="Times New Roman" w:cs="Times New Roman"/>
          <w:b/>
        </w:rPr>
        <w:t xml:space="preserve"> promociju kulturne baštine </w:t>
      </w:r>
      <w:r>
        <w:rPr>
          <w:rFonts w:ascii="Times New Roman" w:hAnsi="Times New Roman" w:cs="Times New Roman"/>
          <w:b/>
        </w:rPr>
        <w:t>i</w:t>
      </w:r>
      <w:r w:rsidRPr="00435B8C">
        <w:rPr>
          <w:rFonts w:ascii="Times New Roman" w:hAnsi="Times New Roman" w:cs="Times New Roman"/>
          <w:b/>
        </w:rPr>
        <w:t xml:space="preserve"> gastronomije</w:t>
      </w:r>
    </w:p>
    <w:p w14:paraId="2BD010D5" w14:textId="7638EBE2" w:rsidR="00B61F60" w:rsidRPr="005B1A8B" w:rsidRDefault="00B61F60" w:rsidP="00B61F60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Obrazloženje: </w:t>
      </w:r>
      <w:r w:rsidRPr="00443B2E">
        <w:rPr>
          <w:rFonts w:ascii="Times New Roman" w:hAnsi="Times New Roman" w:cs="Times New Roman"/>
        </w:rPr>
        <w:t>Ulaganja putem ove Intervencije</w:t>
      </w:r>
      <w:r w:rsidRPr="00443B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B2E">
        <w:rPr>
          <w:rFonts w:ascii="Times New Roman" w:hAnsi="Times New Roman" w:cs="Times New Roman"/>
        </w:rPr>
        <w:t>se odnose na pružanje potpore koja ima za cilj očuvanje i promociju lokalnih tradicija, kulturne baštine i poljoprivrednih proizvoda, a sve kroz različite manifestacije i događanja. Ova podrška ima nekoliko ključnih ciljeva:</w:t>
      </w:r>
      <w:r>
        <w:rPr>
          <w:rFonts w:ascii="Times New Roman" w:hAnsi="Times New Roman" w:cs="Times New Roman"/>
        </w:rPr>
        <w:t xml:space="preserve"> </w:t>
      </w:r>
    </w:p>
    <w:p w14:paraId="6822772B" w14:textId="77777777" w:rsidR="00B61F60" w:rsidRPr="00443B2E" w:rsidRDefault="00B61F60" w:rsidP="00B61F6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45F5">
        <w:rPr>
          <w:rFonts w:ascii="Times New Roman" w:hAnsi="Times New Roman" w:cs="Times New Roman"/>
        </w:rPr>
        <w:t>Održavanje manifestacija i sajmova</w:t>
      </w:r>
      <w:r w:rsidRPr="00443B2E">
        <w:rPr>
          <w:rFonts w:ascii="Times New Roman" w:hAnsi="Times New Roman" w:cs="Times New Roman"/>
        </w:rPr>
        <w:t xml:space="preserve">: potpora je namijenjena organizaciji i održavanju manifestacija kao što su sajmovi, festivali, tematske priredbe i slični događaji koji služe kao platforme za promociju lokalnih poljoprivrednih proizvoda, kao i tradicije i običaja. </w:t>
      </w:r>
    </w:p>
    <w:p w14:paraId="0D42AAE1" w14:textId="77777777" w:rsidR="00B61F60" w:rsidRDefault="00B61F60" w:rsidP="00B61F6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45F5">
        <w:rPr>
          <w:rFonts w:ascii="Times New Roman" w:hAnsi="Times New Roman" w:cs="Times New Roman"/>
        </w:rPr>
        <w:t>Edukativne aktivnosti:</w:t>
      </w:r>
      <w:r w:rsidRPr="00443B2E">
        <w:rPr>
          <w:rFonts w:ascii="Times New Roman" w:hAnsi="Times New Roman" w:cs="Times New Roman"/>
        </w:rPr>
        <w:t xml:space="preserve"> organizacija edukativnih programa, radionica i seminara koji mogu pomoći u širenju znanja o poljoprivredi, lokalnoj gastronomiji i očuvanju kulturne baštine što doprinosi u očuvanju kulturnog identiteta i promociji lokalne zajednice.</w:t>
      </w:r>
    </w:p>
    <w:p w14:paraId="51A22FB0" w14:textId="77777777" w:rsidR="00B61F60" w:rsidRPr="00443B2E" w:rsidRDefault="00B61F60" w:rsidP="00B61F6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45F5">
        <w:rPr>
          <w:rFonts w:ascii="Times New Roman" w:hAnsi="Times New Roman" w:cs="Times New Roman"/>
        </w:rPr>
        <w:t>Promocija kulturne baštine i gastronomije: aktivnosti</w:t>
      </w:r>
      <w:r w:rsidRPr="00443B2E">
        <w:rPr>
          <w:rFonts w:ascii="Times New Roman" w:hAnsi="Times New Roman" w:cs="Times New Roman"/>
        </w:rPr>
        <w:t xml:space="preserve"> usmjerene promociji kulturne baštine utječu na jačanje svijesti o važno</w:t>
      </w:r>
      <w:r>
        <w:rPr>
          <w:rFonts w:ascii="Times New Roman" w:hAnsi="Times New Roman" w:cs="Times New Roman"/>
        </w:rPr>
        <w:t>s</w:t>
      </w:r>
      <w:r w:rsidRPr="00443B2E">
        <w:rPr>
          <w:rFonts w:ascii="Times New Roman" w:hAnsi="Times New Roman" w:cs="Times New Roman"/>
        </w:rPr>
        <w:t>ti očuvanja kulturne baštine i doprinose boljoj atraktivnosti određenog područja.</w:t>
      </w:r>
    </w:p>
    <w:p w14:paraId="560C4462" w14:textId="77777777" w:rsidR="00B61F60" w:rsidRPr="003B5E32" w:rsidRDefault="00B61F60" w:rsidP="00B61F6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45F5">
        <w:rPr>
          <w:rFonts w:ascii="Times New Roman" w:hAnsi="Times New Roman" w:cs="Times New Roman"/>
        </w:rPr>
        <w:t>Ulaganje u opremu</w:t>
      </w:r>
      <w:r w:rsidRPr="003B5E32">
        <w:rPr>
          <w:rFonts w:ascii="Times New Roman" w:hAnsi="Times New Roman" w:cs="Times New Roman"/>
        </w:rPr>
        <w:t xml:space="preserve">: Nabavka nove i moderne opreme, koja može uključivati nove tehnologije, alate ili specijalizirane uređaju, omogućuje poboljšanje kvalitete kulturnih sadržaja (primjerice, investicija u bolje audio-video uređaje, digitalne platforme za izložbe i slično). </w:t>
      </w:r>
    </w:p>
    <w:p w14:paraId="4DDFADFF" w14:textId="0E28C7ED" w:rsidR="00477123" w:rsidRDefault="00B61F6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Specifični cilj ove intervencije  je: </w:t>
      </w:r>
      <w:r w:rsidRPr="00435B8C">
        <w:rPr>
          <w:rFonts w:ascii="Times New Roman" w:hAnsi="Times New Roman" w:cs="Times New Roman"/>
          <w:b/>
        </w:rPr>
        <w:t>SC 3.1. Jačanje identiteta i promocija LAG područja</w:t>
      </w:r>
    </w:p>
    <w:p w14:paraId="30D22F6F" w14:textId="77777777" w:rsidR="00B61F60" w:rsidRPr="00872D9A" w:rsidRDefault="00B61F60" w:rsidP="00B61F60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872D9A">
        <w:rPr>
          <w:rFonts w:ascii="Times New Roman" w:hAnsi="Times New Roman" w:cs="Times New Roman"/>
        </w:rPr>
        <w:t xml:space="preserve">Intervencija u okviru ove potpore ima za cilj unaprijediti promociju i prepoznatljivost određenih područja, s naglaskom na jačanje njihovog identiteta. Kroz različite aktivnosti koje će biti provedene, područja će dobiti priliku da istaknu svoje specifičnosti, kulturne vrijednosti, tradiciju i resurse, čime će postati </w:t>
      </w:r>
      <w:proofErr w:type="spellStart"/>
      <w:r w:rsidRPr="00872D9A">
        <w:rPr>
          <w:rFonts w:ascii="Times New Roman" w:hAnsi="Times New Roman" w:cs="Times New Roman"/>
        </w:rPr>
        <w:t>prepoznatljivija</w:t>
      </w:r>
      <w:proofErr w:type="spellEnd"/>
      <w:r w:rsidRPr="00872D9A">
        <w:rPr>
          <w:rFonts w:ascii="Times New Roman" w:hAnsi="Times New Roman" w:cs="Times New Roman"/>
        </w:rPr>
        <w:t xml:space="preserve"> i atraktivnija za posjetitelje, investitore i širu javnost.</w:t>
      </w:r>
    </w:p>
    <w:p w14:paraId="0A728859" w14:textId="77777777" w:rsidR="00B61F60" w:rsidRDefault="00B61F60" w:rsidP="00B61F60">
      <w:pPr>
        <w:jc w:val="both"/>
        <w:rPr>
          <w:rFonts w:ascii="Times New Roman" w:hAnsi="Times New Roman" w:cs="Times New Roman"/>
        </w:rPr>
      </w:pPr>
      <w:r w:rsidRPr="00435B8C">
        <w:rPr>
          <w:rFonts w:ascii="Times New Roman" w:hAnsi="Times New Roman" w:cs="Times New Roman"/>
        </w:rPr>
        <w:t>Intervencija je usklađena s člankom 73. Uredbe EU br. 2021/2115.</w:t>
      </w:r>
    </w:p>
    <w:p w14:paraId="052A3F5C" w14:textId="77777777" w:rsidR="00B61F60" w:rsidRDefault="00B61F60">
      <w:pPr>
        <w:jc w:val="both"/>
        <w:rPr>
          <w:rFonts w:ascii="Times New Roman" w:eastAsia="Times New Roman" w:hAnsi="Times New Roman" w:cs="Times New Roman"/>
          <w:b/>
        </w:rPr>
      </w:pPr>
    </w:p>
    <w:p w14:paraId="78155712" w14:textId="0326DE49" w:rsidR="00477123" w:rsidRDefault="00B61F6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Dodatna vrijednost intervencije </w:t>
      </w:r>
      <w:r w:rsidR="009F0299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 xml:space="preserve">.1.1. </w:t>
      </w:r>
      <w:r w:rsidR="009F0299" w:rsidRPr="009F0299">
        <w:rPr>
          <w:rFonts w:ascii="Times New Roman" w:eastAsia="Times New Roman" w:hAnsi="Times New Roman" w:cs="Times New Roman"/>
          <w:b/>
        </w:rPr>
        <w:t>Potpora aktivnostima promocije lokalne gastronomije i kulturne baštine</w:t>
      </w:r>
      <w:r w:rsidR="009F0299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očituje se kroz sljedeće:</w:t>
      </w:r>
    </w:p>
    <w:p w14:paraId="3A548E3C" w14:textId="77777777" w:rsidR="009F0299" w:rsidRPr="00915FF9" w:rsidRDefault="009F0299" w:rsidP="009F0299">
      <w:pPr>
        <w:pStyle w:val="ListParagraph"/>
        <w:framePr w:hSpace="180" w:wrap="around" w:vAnchor="text" w:hAnchor="margin" w:x="-10" w:y="1"/>
        <w:numPr>
          <w:ilvl w:val="0"/>
          <w:numId w:val="3"/>
        </w:numPr>
        <w:ind w:left="317" w:hanging="317"/>
        <w:jc w:val="both"/>
        <w:rPr>
          <w:rFonts w:ascii="Times New Roman" w:hAnsi="Times New Roman" w:cs="Times New Roman"/>
        </w:rPr>
      </w:pPr>
      <w:bookmarkStart w:id="6" w:name="_heading=h.msn7uk4jna5" w:colFirst="0" w:colLast="0"/>
      <w:bookmarkEnd w:id="6"/>
      <w:r w:rsidRPr="00435B8C">
        <w:rPr>
          <w:rFonts w:ascii="Times New Roman" w:hAnsi="Times New Roman" w:cs="Times New Roman"/>
        </w:rPr>
        <w:t>poboljšano lokalno upravljanje putem projektnih aktivnosti koji doprinose očuvanju kulturne baštine, stvaranj</w:t>
      </w:r>
      <w:r>
        <w:rPr>
          <w:rFonts w:ascii="Times New Roman" w:hAnsi="Times New Roman" w:cs="Times New Roman"/>
        </w:rPr>
        <w:t>u</w:t>
      </w:r>
      <w:r w:rsidRPr="00435B8C">
        <w:rPr>
          <w:rFonts w:ascii="Times New Roman" w:hAnsi="Times New Roman" w:cs="Times New Roman"/>
        </w:rPr>
        <w:t xml:space="preserve"> dodatnog sadržaja u cilju povećanja atraktivnosti ruralnog prostora, jačanj</w:t>
      </w:r>
      <w:r>
        <w:rPr>
          <w:rFonts w:ascii="Times New Roman" w:hAnsi="Times New Roman" w:cs="Times New Roman"/>
        </w:rPr>
        <w:t>a</w:t>
      </w:r>
      <w:r w:rsidRPr="00435B8C">
        <w:rPr>
          <w:rFonts w:ascii="Times New Roman" w:hAnsi="Times New Roman" w:cs="Times New Roman"/>
        </w:rPr>
        <w:t xml:space="preserve"> identiteta i promocije područja</w:t>
      </w:r>
    </w:p>
    <w:p w14:paraId="58E1623F" w14:textId="77777777" w:rsidR="009F0299" w:rsidRDefault="009F0299" w:rsidP="009F0299">
      <w:pPr>
        <w:pStyle w:val="ListParagraph"/>
        <w:framePr w:hSpace="180" w:wrap="around" w:vAnchor="text" w:hAnchor="margin" w:x="-10" w:y="1"/>
        <w:numPr>
          <w:ilvl w:val="0"/>
          <w:numId w:val="3"/>
        </w:numPr>
        <w:ind w:left="317" w:hanging="317"/>
        <w:jc w:val="both"/>
        <w:rPr>
          <w:rFonts w:ascii="Times New Roman" w:hAnsi="Times New Roman" w:cs="Times New Roman"/>
        </w:rPr>
      </w:pPr>
      <w:r w:rsidRPr="00435B8C">
        <w:rPr>
          <w:rFonts w:ascii="Times New Roman" w:hAnsi="Times New Roman" w:cs="Times New Roman"/>
        </w:rPr>
        <w:t>prilagođenost natječaja i kriterija bodovanja specifičnostima i potrebama LAG područja</w:t>
      </w:r>
    </w:p>
    <w:p w14:paraId="5982EB8B" w14:textId="77777777" w:rsidR="009F0299" w:rsidRPr="009F0299" w:rsidRDefault="009F0299" w:rsidP="009F0299">
      <w:pPr>
        <w:pStyle w:val="ListParagraph"/>
        <w:framePr w:hSpace="180" w:wrap="around" w:vAnchor="text" w:hAnchor="margin" w:x="-10" w:y="1"/>
        <w:numPr>
          <w:ilvl w:val="0"/>
          <w:numId w:val="3"/>
        </w:numPr>
        <w:ind w:left="317" w:hanging="31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partnerskim projektima čime se jača sinergija i stvara osjećaj zajedništva</w:t>
      </w:r>
    </w:p>
    <w:p w14:paraId="38A69D36" w14:textId="6FF3EAA0" w:rsidR="00477123" w:rsidRPr="009F0299" w:rsidRDefault="009F0299" w:rsidP="009F0299">
      <w:pPr>
        <w:pStyle w:val="ListParagraph"/>
        <w:framePr w:hSpace="180" w:wrap="around" w:vAnchor="text" w:hAnchor="margin" w:x="-10" w:y="1"/>
        <w:numPr>
          <w:ilvl w:val="0"/>
          <w:numId w:val="3"/>
        </w:numPr>
        <w:ind w:left="317" w:hanging="317"/>
        <w:jc w:val="both"/>
        <w:rPr>
          <w:rFonts w:ascii="Times New Roman" w:hAnsi="Times New Roman" w:cs="Times New Roman"/>
        </w:rPr>
      </w:pPr>
      <w:r w:rsidRPr="009F0299">
        <w:rPr>
          <w:rFonts w:ascii="Times New Roman" w:hAnsi="Times New Roman" w:cs="Times New Roman"/>
        </w:rPr>
        <w:t>davanje prednosti projektima koji uvode inovativne aktivnosti i pridonose održivosti te održavaju edukativne aktivnosti (primjerice: priprema lokalnih namirnica, stvaranje novih turističkih ruta</w:t>
      </w:r>
      <w:r w:rsidR="001F6E2D">
        <w:rPr>
          <w:rFonts w:ascii="Times New Roman" w:hAnsi="Times New Roman" w:cs="Times New Roman"/>
        </w:rPr>
        <w:t>)</w:t>
      </w:r>
    </w:p>
    <w:p w14:paraId="620B10C0" w14:textId="77777777" w:rsidR="00E44F8E" w:rsidRDefault="00E44F8E">
      <w:pPr>
        <w:pStyle w:val="Heading2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xd5q0wh5221" w:colFirst="0" w:colLast="0"/>
      <w:bookmarkEnd w:id="7"/>
    </w:p>
    <w:p w14:paraId="6AE9F043" w14:textId="0A2C56D0" w:rsidR="00477123" w:rsidRDefault="00B61F60">
      <w:pPr>
        <w:pStyle w:val="Heading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Opći cilj LRS, Specifični cilj LRS, Potrebe, Intervencije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3"/>
        <w:gridCol w:w="2070"/>
        <w:gridCol w:w="2719"/>
        <w:gridCol w:w="2760"/>
      </w:tblGrid>
      <w:tr w:rsidR="00477123" w14:paraId="2CB1D474" w14:textId="77777777">
        <w:trPr>
          <w:trHeight w:val="20"/>
        </w:trPr>
        <w:tc>
          <w:tcPr>
            <w:tcW w:w="1513" w:type="dxa"/>
            <w:shd w:val="clear" w:color="auto" w:fill="B4C6E7"/>
            <w:vAlign w:val="center"/>
          </w:tcPr>
          <w:p w14:paraId="2BB33DC4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8" w:name="_heading=h.8et6dk5r3kpr" w:colFirst="0" w:colLast="0"/>
            <w:bookmarkEnd w:id="8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Opći cilj LRS</w:t>
            </w:r>
          </w:p>
        </w:tc>
        <w:tc>
          <w:tcPr>
            <w:tcW w:w="2070" w:type="dxa"/>
            <w:shd w:val="clear" w:color="auto" w:fill="B4C6E7"/>
            <w:vAlign w:val="center"/>
          </w:tcPr>
          <w:p w14:paraId="165552C2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Specifični  cilj LRS</w:t>
            </w:r>
          </w:p>
        </w:tc>
        <w:tc>
          <w:tcPr>
            <w:tcW w:w="2719" w:type="dxa"/>
            <w:shd w:val="clear" w:color="auto" w:fill="B4C6E7"/>
            <w:vAlign w:val="center"/>
          </w:tcPr>
          <w:p w14:paraId="6254AC0C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Potreba</w:t>
            </w:r>
          </w:p>
        </w:tc>
        <w:tc>
          <w:tcPr>
            <w:tcW w:w="2760" w:type="dxa"/>
            <w:shd w:val="clear" w:color="auto" w:fill="B4C6E7"/>
            <w:vAlign w:val="center"/>
          </w:tcPr>
          <w:p w14:paraId="655944D0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Intervencija</w:t>
            </w:r>
          </w:p>
        </w:tc>
      </w:tr>
      <w:tr w:rsidR="00477123" w14:paraId="6BA263AB" w14:textId="77777777" w:rsidTr="00F91D8D">
        <w:trPr>
          <w:trHeight w:val="20"/>
        </w:trPr>
        <w:tc>
          <w:tcPr>
            <w:tcW w:w="1513" w:type="dxa"/>
            <w:vMerge w:val="restart"/>
            <w:vAlign w:val="center"/>
          </w:tcPr>
          <w:p w14:paraId="3D302767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 1. Poticanje rasta, razvoja i zapošljavanja u sektoru poljoprivrede</w:t>
            </w:r>
          </w:p>
          <w:p w14:paraId="7B647C45" w14:textId="77777777" w:rsidR="00477123" w:rsidRDefault="004771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59006BCF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SC 1.1. Povećanje konkurentnosti i održivosti uz modernizaciju i razvoj  postojećih usluga  na poljoprivrednom gospodarstvu</w:t>
            </w:r>
          </w:p>
        </w:tc>
        <w:tc>
          <w:tcPr>
            <w:tcW w:w="2719" w:type="dxa"/>
            <w:vMerge w:val="restart"/>
            <w:vAlign w:val="center"/>
          </w:tcPr>
          <w:p w14:paraId="0034D113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 1 Osiguranje održivog dohotka</w:t>
            </w:r>
          </w:p>
        </w:tc>
        <w:tc>
          <w:tcPr>
            <w:tcW w:w="2760" w:type="dxa"/>
            <w:vAlign w:val="center"/>
          </w:tcPr>
          <w:p w14:paraId="05457676" w14:textId="77777777" w:rsidR="00477123" w:rsidRDefault="004771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DE34F4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1D8D">
              <w:rPr>
                <w:rFonts w:ascii="Times New Roman" w:eastAsia="Times New Roman" w:hAnsi="Times New Roman" w:cs="Times New Roman"/>
              </w:rPr>
              <w:t>1.1.1. Jačanje konkurentnosti i stvaranje preduvjeta za održivi dohodak poljoprivrednih gospodarstava</w:t>
            </w:r>
          </w:p>
        </w:tc>
      </w:tr>
      <w:tr w:rsidR="00477123" w14:paraId="253FD8D2" w14:textId="77777777">
        <w:trPr>
          <w:trHeight w:val="20"/>
        </w:trPr>
        <w:tc>
          <w:tcPr>
            <w:tcW w:w="1513" w:type="dxa"/>
            <w:vMerge/>
            <w:shd w:val="clear" w:color="auto" w:fill="E2EFD9"/>
            <w:vAlign w:val="center"/>
          </w:tcPr>
          <w:p w14:paraId="4FD687D0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vMerge/>
            <w:shd w:val="clear" w:color="auto" w:fill="E2EFD9"/>
            <w:vAlign w:val="center"/>
          </w:tcPr>
          <w:p w14:paraId="74251797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9" w:type="dxa"/>
            <w:vMerge/>
            <w:shd w:val="clear" w:color="auto" w:fill="E2EFD9"/>
            <w:vAlign w:val="center"/>
          </w:tcPr>
          <w:p w14:paraId="4E0704AD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vAlign w:val="center"/>
          </w:tcPr>
          <w:p w14:paraId="7E4B2E65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1.2.1. Razvoj dodatnih usluga na poljoprivrednom gospodarstvu</w:t>
            </w:r>
          </w:p>
        </w:tc>
      </w:tr>
      <w:tr w:rsidR="00477123" w14:paraId="66B57693" w14:textId="77777777" w:rsidTr="00F91D8D">
        <w:trPr>
          <w:trHeight w:val="20"/>
        </w:trPr>
        <w:tc>
          <w:tcPr>
            <w:tcW w:w="1513" w:type="dxa"/>
            <w:vMerge w:val="restart"/>
            <w:shd w:val="clear" w:color="auto" w:fill="C5E0B3" w:themeFill="accent6" w:themeFillTint="66"/>
            <w:vAlign w:val="center"/>
          </w:tcPr>
          <w:p w14:paraId="1D6DBB25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OC 2.  Povećanje atraktivnosti ruralnog prostora kroz raznolikost sadržaja i promociju kulturne baštine i gastronomije</w:t>
            </w:r>
          </w:p>
        </w:tc>
        <w:tc>
          <w:tcPr>
            <w:tcW w:w="2070" w:type="dxa"/>
            <w:vAlign w:val="center"/>
          </w:tcPr>
          <w:p w14:paraId="15B13F87" w14:textId="77777777" w:rsidR="00477123" w:rsidRDefault="0047712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BDEE3A7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 2.1. Unapređenje ruralne infrastrukture</w:t>
            </w:r>
          </w:p>
          <w:p w14:paraId="40D04DB1" w14:textId="77777777" w:rsidR="00477123" w:rsidRDefault="004771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9" w:type="dxa"/>
            <w:vAlign w:val="center"/>
          </w:tcPr>
          <w:p w14:paraId="124158D8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 2 Poboljšanje kvalitete života u ruralnoj sredini</w:t>
            </w:r>
          </w:p>
        </w:tc>
        <w:tc>
          <w:tcPr>
            <w:tcW w:w="2760" w:type="dxa"/>
            <w:vAlign w:val="center"/>
          </w:tcPr>
          <w:p w14:paraId="6FFA0C44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2.1.1. Ulaganje u stvaranje  dodatnog sadržaja/usluga u ruralnom prostoru</w:t>
            </w:r>
          </w:p>
        </w:tc>
      </w:tr>
      <w:tr w:rsidR="00477123" w14:paraId="4CD0DFC8" w14:textId="77777777" w:rsidTr="00F91D8D">
        <w:trPr>
          <w:trHeight w:val="20"/>
        </w:trPr>
        <w:tc>
          <w:tcPr>
            <w:tcW w:w="1513" w:type="dxa"/>
            <w:vMerge/>
            <w:shd w:val="clear" w:color="auto" w:fill="C5E0B3" w:themeFill="accent6" w:themeFillTint="66"/>
            <w:vAlign w:val="center"/>
          </w:tcPr>
          <w:p w14:paraId="5A92D891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shd w:val="clear" w:color="auto" w:fill="C5E0B3" w:themeFill="accent6" w:themeFillTint="66"/>
            <w:vAlign w:val="center"/>
          </w:tcPr>
          <w:p w14:paraId="4E8B137C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SC 3.1. Jačanje identiteta i promocija LAG područja</w:t>
            </w:r>
          </w:p>
        </w:tc>
        <w:tc>
          <w:tcPr>
            <w:tcW w:w="2719" w:type="dxa"/>
            <w:shd w:val="clear" w:color="auto" w:fill="C5E0B3" w:themeFill="accent6" w:themeFillTint="66"/>
            <w:vAlign w:val="center"/>
          </w:tcPr>
          <w:p w14:paraId="48774999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 3 Jačanje promocije lokalne gastronomije i kulturne materijalne i nematerijalne baštine</w:t>
            </w:r>
          </w:p>
          <w:p w14:paraId="234F4C59" w14:textId="77777777" w:rsidR="00477123" w:rsidRDefault="004771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shd w:val="clear" w:color="auto" w:fill="C5E0B3" w:themeFill="accent6" w:themeFillTint="66"/>
            <w:vAlign w:val="center"/>
          </w:tcPr>
          <w:p w14:paraId="3430BD09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3.1.1. Potpora aktivnostima promocije lokalne gastronomije i kulturne baštine</w:t>
            </w:r>
          </w:p>
        </w:tc>
      </w:tr>
    </w:tbl>
    <w:p w14:paraId="0425C983" w14:textId="77777777" w:rsidR="00477123" w:rsidRDefault="00477123">
      <w:pPr>
        <w:rPr>
          <w:rFonts w:ascii="Times New Roman" w:eastAsia="Times New Roman" w:hAnsi="Times New Roman" w:cs="Times New Roman"/>
          <w:i/>
        </w:rPr>
      </w:pPr>
    </w:p>
    <w:p w14:paraId="38B04F80" w14:textId="77777777" w:rsidR="00477123" w:rsidRDefault="00477123">
      <w:pPr>
        <w:rPr>
          <w:rFonts w:ascii="Times New Roman" w:eastAsia="Times New Roman" w:hAnsi="Times New Roman" w:cs="Times New Roman"/>
          <w:i/>
        </w:rPr>
      </w:pPr>
    </w:p>
    <w:p w14:paraId="5EE6C215" w14:textId="77777777" w:rsidR="00477123" w:rsidRDefault="00477123">
      <w:pPr>
        <w:rPr>
          <w:rFonts w:ascii="Times New Roman" w:eastAsia="Times New Roman" w:hAnsi="Times New Roman" w:cs="Times New Roman"/>
          <w:i/>
        </w:rPr>
      </w:pPr>
    </w:p>
    <w:p w14:paraId="55B07EA3" w14:textId="77777777" w:rsidR="00477123" w:rsidRDefault="00B61F60">
      <w:pPr>
        <w:rPr>
          <w:rFonts w:ascii="Times New Roman" w:eastAsia="Times New Roman" w:hAnsi="Times New Roman" w:cs="Times New Roman"/>
          <w:i/>
        </w:rPr>
      </w:pPr>
      <w:r>
        <w:br w:type="page"/>
      </w:r>
    </w:p>
    <w:p w14:paraId="6EF71957" w14:textId="77777777" w:rsidR="00477123" w:rsidRDefault="00477123">
      <w:pPr>
        <w:pStyle w:val="Heading2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mnso0qcbs7av" w:colFirst="0" w:colLast="0"/>
      <w:bookmarkEnd w:id="9"/>
    </w:p>
    <w:p w14:paraId="18940E8D" w14:textId="77777777" w:rsidR="00477123" w:rsidRDefault="00B61F60">
      <w:pPr>
        <w:pStyle w:val="Heading2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heading=h.9itkic7xusjl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</w:rPr>
        <w:t>Pregled Općih i Specifičnih ciljeva LRS-a „LAG-a „More 249“ u odnosu na ciljeve SP ZPP-a</w:t>
      </w:r>
    </w:p>
    <w:tbl>
      <w:tblPr>
        <w:tblStyle w:val="a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3"/>
        <w:gridCol w:w="2412"/>
        <w:gridCol w:w="2103"/>
        <w:gridCol w:w="2412"/>
      </w:tblGrid>
      <w:tr w:rsidR="00477123" w14:paraId="329D656D" w14:textId="77777777">
        <w:trPr>
          <w:trHeight w:val="500"/>
        </w:trPr>
        <w:tc>
          <w:tcPr>
            <w:tcW w:w="6798" w:type="dxa"/>
            <w:gridSpan w:val="3"/>
            <w:shd w:val="clear" w:color="auto" w:fill="DEEBF6"/>
          </w:tcPr>
          <w:p w14:paraId="02FEF917" w14:textId="77777777" w:rsidR="00477123" w:rsidRDefault="00B61F6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LRS</w:t>
            </w:r>
          </w:p>
        </w:tc>
        <w:tc>
          <w:tcPr>
            <w:tcW w:w="2412" w:type="dxa"/>
            <w:shd w:val="clear" w:color="auto" w:fill="DEEBF6"/>
          </w:tcPr>
          <w:p w14:paraId="0AA68DDF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SP ZPP</w:t>
            </w:r>
          </w:p>
        </w:tc>
      </w:tr>
      <w:tr w:rsidR="00477123" w14:paraId="2D2346A8" w14:textId="77777777">
        <w:trPr>
          <w:trHeight w:val="470"/>
        </w:trPr>
        <w:tc>
          <w:tcPr>
            <w:tcW w:w="2283" w:type="dxa"/>
          </w:tcPr>
          <w:p w14:paraId="5B48E705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Opći ciljevi</w:t>
            </w:r>
          </w:p>
        </w:tc>
        <w:tc>
          <w:tcPr>
            <w:tcW w:w="2412" w:type="dxa"/>
          </w:tcPr>
          <w:p w14:paraId="16D39302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Specifični ciljevi</w:t>
            </w:r>
          </w:p>
        </w:tc>
        <w:tc>
          <w:tcPr>
            <w:tcW w:w="2103" w:type="dxa"/>
          </w:tcPr>
          <w:p w14:paraId="4DBB69F9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Intervencija</w:t>
            </w:r>
          </w:p>
        </w:tc>
        <w:tc>
          <w:tcPr>
            <w:tcW w:w="2412" w:type="dxa"/>
          </w:tcPr>
          <w:p w14:paraId="29DD62C7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Specifični ciljevi</w:t>
            </w:r>
          </w:p>
        </w:tc>
      </w:tr>
      <w:tr w:rsidR="00477123" w14:paraId="566CAED3" w14:textId="77777777" w:rsidTr="00483FE9">
        <w:trPr>
          <w:trHeight w:val="500"/>
        </w:trPr>
        <w:tc>
          <w:tcPr>
            <w:tcW w:w="2283" w:type="dxa"/>
            <w:vMerge w:val="restart"/>
          </w:tcPr>
          <w:p w14:paraId="3D5A771E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OC1</w:t>
            </w:r>
          </w:p>
        </w:tc>
        <w:tc>
          <w:tcPr>
            <w:tcW w:w="2412" w:type="dxa"/>
            <w:vMerge w:val="restart"/>
          </w:tcPr>
          <w:p w14:paraId="52989CCE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SC 1.1.</w:t>
            </w:r>
          </w:p>
        </w:tc>
        <w:tc>
          <w:tcPr>
            <w:tcW w:w="2103" w:type="dxa"/>
          </w:tcPr>
          <w:p w14:paraId="43C45BAF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1.1.1.</w:t>
            </w:r>
          </w:p>
        </w:tc>
        <w:tc>
          <w:tcPr>
            <w:tcW w:w="2412" w:type="dxa"/>
          </w:tcPr>
          <w:p w14:paraId="5EFE2209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SC2, SC4, SC8</w:t>
            </w:r>
          </w:p>
        </w:tc>
      </w:tr>
      <w:tr w:rsidR="00477123" w14:paraId="6044CF4A" w14:textId="77777777">
        <w:trPr>
          <w:trHeight w:val="281"/>
        </w:trPr>
        <w:tc>
          <w:tcPr>
            <w:tcW w:w="2283" w:type="dxa"/>
            <w:vMerge/>
            <w:shd w:val="clear" w:color="auto" w:fill="E2EFD9"/>
          </w:tcPr>
          <w:p w14:paraId="227BC2A6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2412" w:type="dxa"/>
            <w:vMerge/>
            <w:shd w:val="clear" w:color="auto" w:fill="E2EFD9"/>
          </w:tcPr>
          <w:p w14:paraId="00E726A9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2103" w:type="dxa"/>
          </w:tcPr>
          <w:p w14:paraId="3EC2D864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1.2.1.</w:t>
            </w:r>
          </w:p>
        </w:tc>
        <w:tc>
          <w:tcPr>
            <w:tcW w:w="2412" w:type="dxa"/>
          </w:tcPr>
          <w:p w14:paraId="53F45A9B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SC 8</w:t>
            </w:r>
          </w:p>
        </w:tc>
      </w:tr>
      <w:tr w:rsidR="00477123" w14:paraId="531B30C5" w14:textId="77777777" w:rsidTr="00483FE9">
        <w:trPr>
          <w:trHeight w:val="500"/>
        </w:trPr>
        <w:tc>
          <w:tcPr>
            <w:tcW w:w="2283" w:type="dxa"/>
            <w:vMerge w:val="restart"/>
            <w:shd w:val="clear" w:color="auto" w:fill="C5E0B3" w:themeFill="accent6" w:themeFillTint="66"/>
          </w:tcPr>
          <w:p w14:paraId="4AD121B3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OC2</w:t>
            </w:r>
          </w:p>
        </w:tc>
        <w:tc>
          <w:tcPr>
            <w:tcW w:w="2412" w:type="dxa"/>
          </w:tcPr>
          <w:p w14:paraId="5406A55F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SC 2.1.</w:t>
            </w:r>
          </w:p>
        </w:tc>
        <w:tc>
          <w:tcPr>
            <w:tcW w:w="2103" w:type="dxa"/>
          </w:tcPr>
          <w:p w14:paraId="1E030315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2.1.1.</w:t>
            </w:r>
          </w:p>
        </w:tc>
        <w:tc>
          <w:tcPr>
            <w:tcW w:w="2412" w:type="dxa"/>
          </w:tcPr>
          <w:p w14:paraId="749A00BC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SC8</w:t>
            </w:r>
          </w:p>
        </w:tc>
      </w:tr>
      <w:tr w:rsidR="00477123" w14:paraId="1FF70D2D" w14:textId="77777777" w:rsidTr="00483FE9">
        <w:trPr>
          <w:trHeight w:val="281"/>
        </w:trPr>
        <w:tc>
          <w:tcPr>
            <w:tcW w:w="2283" w:type="dxa"/>
            <w:vMerge/>
            <w:shd w:val="clear" w:color="auto" w:fill="C5E0B3" w:themeFill="accent6" w:themeFillTint="66"/>
          </w:tcPr>
          <w:p w14:paraId="552AD4CD" w14:textId="77777777" w:rsidR="00477123" w:rsidRDefault="00477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2412" w:type="dxa"/>
            <w:shd w:val="clear" w:color="auto" w:fill="C5E0B3" w:themeFill="accent6" w:themeFillTint="66"/>
          </w:tcPr>
          <w:p w14:paraId="67329124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SC 3.1.</w:t>
            </w:r>
          </w:p>
        </w:tc>
        <w:tc>
          <w:tcPr>
            <w:tcW w:w="2103" w:type="dxa"/>
            <w:shd w:val="clear" w:color="auto" w:fill="C5E0B3" w:themeFill="accent6" w:themeFillTint="66"/>
          </w:tcPr>
          <w:p w14:paraId="19F6F5A9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3.1.1.</w:t>
            </w:r>
          </w:p>
        </w:tc>
        <w:tc>
          <w:tcPr>
            <w:tcW w:w="2412" w:type="dxa"/>
            <w:shd w:val="clear" w:color="auto" w:fill="C5E0B3" w:themeFill="accent6" w:themeFillTint="66"/>
          </w:tcPr>
          <w:p w14:paraId="323B173B" w14:textId="77777777" w:rsidR="00477123" w:rsidRDefault="00B61F6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SC8</w:t>
            </w:r>
          </w:p>
        </w:tc>
      </w:tr>
    </w:tbl>
    <w:p w14:paraId="63C1298C" w14:textId="77777777" w:rsidR="00477123" w:rsidRDefault="00477123">
      <w:pPr>
        <w:rPr>
          <w:rFonts w:ascii="Times New Roman" w:eastAsia="Times New Roman" w:hAnsi="Times New Roman" w:cs="Times New Roman"/>
        </w:rPr>
      </w:pPr>
    </w:p>
    <w:p w14:paraId="0463D487" w14:textId="77777777" w:rsidR="00477123" w:rsidRDefault="00B61F60">
      <w:pPr>
        <w:pStyle w:val="Heading2"/>
        <w:rPr>
          <w:rFonts w:ascii="Times New Roman" w:eastAsia="Times New Roman" w:hAnsi="Times New Roman" w:cs="Times New Roman"/>
        </w:rPr>
      </w:pPr>
      <w:bookmarkStart w:id="11" w:name="_heading=h.katuobm5bfzm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>Prikaz kriterija na temelju kojih projekti iz intervencije doprinose provedbi koncepta Pametnih sela</w:t>
      </w:r>
    </w:p>
    <w:p w14:paraId="04DCEB68" w14:textId="77777777" w:rsidR="00477123" w:rsidRDefault="00477123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9"/>
        <w:gridCol w:w="3275"/>
        <w:gridCol w:w="5098"/>
      </w:tblGrid>
      <w:tr w:rsidR="00477123" w14:paraId="13B9E43A" w14:textId="77777777">
        <w:trPr>
          <w:trHeight w:val="850"/>
        </w:trPr>
        <w:tc>
          <w:tcPr>
            <w:tcW w:w="689" w:type="dxa"/>
            <w:shd w:val="clear" w:color="auto" w:fill="DEEBF6"/>
          </w:tcPr>
          <w:p w14:paraId="2A3F9647" w14:textId="77777777" w:rsidR="00477123" w:rsidRDefault="00B61F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r.b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75" w:type="dxa"/>
            <w:shd w:val="clear" w:color="auto" w:fill="DEEBF6"/>
          </w:tcPr>
          <w:p w14:paraId="6474DCAF" w14:textId="77777777" w:rsidR="00477123" w:rsidRDefault="00B61F6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Kriterij koji doprinosi provedbi koncepta „Pametnih sela“</w:t>
            </w:r>
          </w:p>
        </w:tc>
        <w:tc>
          <w:tcPr>
            <w:tcW w:w="5098" w:type="dxa"/>
            <w:shd w:val="clear" w:color="auto" w:fill="DEEBF6"/>
          </w:tcPr>
          <w:p w14:paraId="72431CEF" w14:textId="77777777" w:rsidR="00477123" w:rsidRDefault="00B61F6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Kriteriji LAG-a na temelju kojih se projekti svrstavaju u projekte koji doprinose provedbi koncepta Pametnih sela.</w:t>
            </w:r>
          </w:p>
        </w:tc>
      </w:tr>
      <w:tr w:rsidR="00477123" w14:paraId="4A633B5A" w14:textId="77777777">
        <w:trPr>
          <w:trHeight w:val="850"/>
        </w:trPr>
        <w:tc>
          <w:tcPr>
            <w:tcW w:w="689" w:type="dxa"/>
          </w:tcPr>
          <w:p w14:paraId="5D755205" w14:textId="77777777" w:rsidR="00477123" w:rsidRDefault="00B61F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275" w:type="dxa"/>
          </w:tcPr>
          <w:p w14:paraId="78D8788F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Inovativna i pametna rješenjima u selima</w:t>
            </w:r>
          </w:p>
        </w:tc>
        <w:tc>
          <w:tcPr>
            <w:tcW w:w="5098" w:type="dxa"/>
          </w:tcPr>
          <w:p w14:paraId="2395F1A0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Korištenje novih inovativnih rješenja odnosi se na primjenu novih ideja, tehnologija i poslovnih modela kako bi se poboljšao životni standard, ekonomska održivost i kvaliteta života. Inovativna rješenja ne obuhvaćaju samo tehnološku inovaciju u poljoprivredi, već i širu transformaciju ruralnih zajednica kroz nove pristupe u svim sektorima života i rada.</w:t>
            </w:r>
          </w:p>
        </w:tc>
      </w:tr>
      <w:tr w:rsidR="00477123" w14:paraId="1A73861E" w14:textId="77777777">
        <w:trPr>
          <w:trHeight w:val="850"/>
        </w:trPr>
        <w:tc>
          <w:tcPr>
            <w:tcW w:w="689" w:type="dxa"/>
          </w:tcPr>
          <w:p w14:paraId="5BE8B653" w14:textId="77777777" w:rsidR="00477123" w:rsidRDefault="00B61F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3275" w:type="dxa"/>
          </w:tcPr>
          <w:p w14:paraId="09A764B3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Digitalizaciju u poljoprivredi i ostalim društvenim aktivnostima u selima</w:t>
            </w:r>
          </w:p>
        </w:tc>
        <w:tc>
          <w:tcPr>
            <w:tcW w:w="5098" w:type="dxa"/>
          </w:tcPr>
          <w:p w14:paraId="75CED2A2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Korištenje digitalnih rješenja s popisa digitalnih rješenja koja bitno pridonose poljoprivredi, nepoljoprivrednim djelatnostima ili ruralnom području, uključujući ulaganje u stjecanje znanja i vještina (primjerice: pametna rasvjeta, sustavi za precizno navodnjavanje, digitalne obavijesti, GPS, sustavi za praćenje i ostalo).</w:t>
            </w:r>
          </w:p>
        </w:tc>
      </w:tr>
      <w:tr w:rsidR="00477123" w14:paraId="6C5BD974" w14:textId="77777777">
        <w:trPr>
          <w:trHeight w:val="850"/>
        </w:trPr>
        <w:tc>
          <w:tcPr>
            <w:tcW w:w="689" w:type="dxa"/>
          </w:tcPr>
          <w:p w14:paraId="5CECEAB6" w14:textId="77777777" w:rsidR="00477123" w:rsidRDefault="00B61F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275" w:type="dxa"/>
          </w:tcPr>
          <w:p w14:paraId="07F542B4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Doprinos okolišnim ciljevima i ublažavanju klimatskih promjena u selima.</w:t>
            </w:r>
          </w:p>
        </w:tc>
        <w:tc>
          <w:tcPr>
            <w:tcW w:w="5098" w:type="dxa"/>
          </w:tcPr>
          <w:p w14:paraId="670CAD29" w14:textId="77777777" w:rsidR="00477123" w:rsidRDefault="00B61F6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Korištenje obnovljivih izvora energije, energetske učinkovitosti, projektne aktivnosti se odnose na ekološku poljoprivredu, ekološko prihvatljivo pakiranje, ulaganja u stjecanje znanja i vještina za zelenu tranziciju.</w:t>
            </w:r>
          </w:p>
        </w:tc>
      </w:tr>
    </w:tbl>
    <w:p w14:paraId="1AB235FF" w14:textId="77777777" w:rsidR="00477123" w:rsidRDefault="00477123">
      <w:pPr>
        <w:rPr>
          <w:rFonts w:ascii="Times New Roman" w:eastAsia="Times New Roman" w:hAnsi="Times New Roman" w:cs="Times New Roman"/>
        </w:rPr>
      </w:pPr>
    </w:p>
    <w:sectPr w:rsidR="004771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E4AA2" w14:textId="77777777" w:rsidR="00950217" w:rsidRDefault="00950217">
      <w:pPr>
        <w:spacing w:after="0" w:line="240" w:lineRule="auto"/>
      </w:pPr>
      <w:r>
        <w:separator/>
      </w:r>
    </w:p>
  </w:endnote>
  <w:endnote w:type="continuationSeparator" w:id="0">
    <w:p w14:paraId="34AB3401" w14:textId="77777777" w:rsidR="00950217" w:rsidRDefault="00950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DE48DFB-F8E3-43BD-BD14-49A9F25336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EB9E3C3-1536-44D6-86B3-31DEA56D9260}"/>
    <w:embedBold r:id="rId3" w:fontKey="{23294AE6-BC03-4DD6-8D00-26630198786A}"/>
    <w:embedItalic r:id="rId4" w:fontKey="{61FBE89F-71D3-4EC6-B7F5-5D9ED71B29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0B12A5E-E5D9-4A83-8A43-9051C38F88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2896CA1D-A315-4F67-8537-E2C5EA35E114}"/>
    <w:embedBold r:id="rId7" w:fontKey="{C0BBDC17-7999-4430-9DBD-B2851CD0B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3EF4F" w14:textId="77777777" w:rsidR="00FC3F30" w:rsidRDefault="00FC3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6B4C8" w14:textId="77777777" w:rsidR="00477123" w:rsidRDefault="00B61F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F0299">
      <w:rPr>
        <w:noProof/>
        <w:color w:val="000000"/>
      </w:rPr>
      <w:t>1</w:t>
    </w:r>
    <w:r>
      <w:rPr>
        <w:color w:val="000000"/>
      </w:rPr>
      <w:fldChar w:fldCharType="end"/>
    </w:r>
  </w:p>
  <w:p w14:paraId="16B25BD0" w14:textId="77777777" w:rsidR="00477123" w:rsidRDefault="00477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E9D38" w14:textId="77777777" w:rsidR="00FC3F30" w:rsidRDefault="00FC3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797DE" w14:textId="77777777" w:rsidR="00950217" w:rsidRDefault="00950217">
      <w:pPr>
        <w:spacing w:after="0" w:line="240" w:lineRule="auto"/>
      </w:pPr>
      <w:r>
        <w:separator/>
      </w:r>
    </w:p>
  </w:footnote>
  <w:footnote w:type="continuationSeparator" w:id="0">
    <w:p w14:paraId="235F5332" w14:textId="77777777" w:rsidR="00950217" w:rsidRDefault="00950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DE31C" w14:textId="77777777" w:rsidR="00FC3F30" w:rsidRDefault="00FC3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84A0D" w14:textId="77777777" w:rsidR="00477123" w:rsidRDefault="00B61F6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A2F2F3" wp14:editId="1AB75A4E">
          <wp:simplePos x="0" y="0"/>
          <wp:positionH relativeFrom="margin">
            <wp:posOffset>3642995</wp:posOffset>
          </wp:positionH>
          <wp:positionV relativeFrom="margin">
            <wp:posOffset>-929640</wp:posOffset>
          </wp:positionV>
          <wp:extent cx="995045" cy="971550"/>
          <wp:effectExtent l="0" t="0" r="0" b="0"/>
          <wp:wrapSquare wrapText="bothSides" distT="114300" distB="114300" distL="114300" distR="114300"/>
          <wp:docPr id="70811248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045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73EAB5A" wp14:editId="6A409A79">
          <wp:simplePos x="0" y="0"/>
          <wp:positionH relativeFrom="page">
            <wp:posOffset>680085</wp:posOffset>
          </wp:positionH>
          <wp:positionV relativeFrom="page">
            <wp:posOffset>472542</wp:posOffset>
          </wp:positionV>
          <wp:extent cx="3668383" cy="600075"/>
          <wp:effectExtent l="0" t="0" r="0" b="0"/>
          <wp:wrapSquare wrapText="bothSides" distT="114300" distB="114300" distL="114300" distR="114300"/>
          <wp:docPr id="7256884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8383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7"/>
      <w:tblpPr w:leftFromText="181" w:rightFromText="181" w:vertAnchor="text" w:tblpX="8143" w:tblpY="1"/>
      <w:tblW w:w="115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55"/>
    </w:tblGrid>
    <w:tr w:rsidR="00477123" w14:paraId="65078E5D" w14:textId="77777777">
      <w:tc>
        <w:tcPr>
          <w:tcW w:w="1155" w:type="dxa"/>
          <w:vAlign w:val="center"/>
        </w:tcPr>
        <w:p w14:paraId="114D7ED6" w14:textId="77777777" w:rsidR="00477123" w:rsidRDefault="00B61F60">
          <w:pPr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Prilog 3.</w:t>
          </w:r>
        </w:p>
      </w:tc>
    </w:tr>
  </w:tbl>
  <w:p w14:paraId="6DED6F95" w14:textId="77777777" w:rsidR="00477123" w:rsidRDefault="00477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48DE9340" w14:textId="77777777" w:rsidR="00477123" w:rsidRDefault="00477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6BFAC" w14:textId="77777777" w:rsidR="00FC3F30" w:rsidRDefault="00FC3F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21036"/>
    <w:multiLevelType w:val="multilevel"/>
    <w:tmpl w:val="52A2A600"/>
    <w:lvl w:ilvl="0">
      <w:start w:val="18"/>
      <w:numFmt w:val="bullet"/>
      <w:lvlText w:val="-"/>
      <w:lvlJc w:val="left"/>
      <w:pPr>
        <w:ind w:left="284" w:hanging="171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8D01C5"/>
    <w:multiLevelType w:val="multilevel"/>
    <w:tmpl w:val="1708E76C"/>
    <w:lvl w:ilvl="0">
      <w:start w:val="18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F926CC"/>
    <w:multiLevelType w:val="hybridMultilevel"/>
    <w:tmpl w:val="472A6252"/>
    <w:lvl w:ilvl="0" w:tplc="1CBE2A70">
      <w:start w:val="18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0B9129C"/>
    <w:multiLevelType w:val="hybridMultilevel"/>
    <w:tmpl w:val="0C0C7A0C"/>
    <w:lvl w:ilvl="0" w:tplc="141E3202">
      <w:start w:val="18"/>
      <w:numFmt w:val="bullet"/>
      <w:lvlText w:val="-"/>
      <w:lvlJc w:val="left"/>
      <w:pPr>
        <w:tabs>
          <w:tab w:val="num" w:pos="340"/>
        </w:tabs>
        <w:ind w:left="510" w:hanging="17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355829">
    <w:abstractNumId w:val="1"/>
  </w:num>
  <w:num w:numId="2" w16cid:durableId="1636569435">
    <w:abstractNumId w:val="0"/>
  </w:num>
  <w:num w:numId="3" w16cid:durableId="792670803">
    <w:abstractNumId w:val="2"/>
  </w:num>
  <w:num w:numId="4" w16cid:durableId="15311859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123"/>
    <w:rsid w:val="001F6E2D"/>
    <w:rsid w:val="00477123"/>
    <w:rsid w:val="00483FE9"/>
    <w:rsid w:val="00950217"/>
    <w:rsid w:val="009F0299"/>
    <w:rsid w:val="00B61F60"/>
    <w:rsid w:val="00C43608"/>
    <w:rsid w:val="00D521C0"/>
    <w:rsid w:val="00E44F8E"/>
    <w:rsid w:val="00E87429"/>
    <w:rsid w:val="00F91D8D"/>
    <w:rsid w:val="00FC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7E68A"/>
  <w15:docId w15:val="{6BE32CEE-368D-46B8-9ACB-24ECC11F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31E"/>
  </w:style>
  <w:style w:type="paragraph" w:styleId="Heading1">
    <w:name w:val="heading 1"/>
    <w:basedOn w:val="Normal"/>
    <w:next w:val="Normal"/>
    <w:link w:val="Heading1Char"/>
    <w:uiPriority w:val="9"/>
    <w:qFormat/>
    <w:rsid w:val="009610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0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0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0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0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0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0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0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0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610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610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610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0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0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0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0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0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0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05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610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0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0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05E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qFormat/>
    <w:rsid w:val="009610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0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0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0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05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21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F68"/>
  </w:style>
  <w:style w:type="paragraph" w:styleId="Footer">
    <w:name w:val="footer"/>
    <w:basedOn w:val="Normal"/>
    <w:link w:val="FooterChar"/>
    <w:uiPriority w:val="99"/>
    <w:unhideWhenUsed/>
    <w:rsid w:val="00321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F68"/>
  </w:style>
  <w:style w:type="table" w:customStyle="1" w:styleId="Reetkatablice2">
    <w:name w:val="Rešetka tablice2"/>
    <w:basedOn w:val="TableNormal"/>
    <w:next w:val="TableGrid"/>
    <w:uiPriority w:val="39"/>
    <w:rsid w:val="00475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75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locked/>
    <w:rsid w:val="0047531E"/>
  </w:style>
  <w:style w:type="paragraph" w:styleId="TOCHeading">
    <w:name w:val="TOC Heading"/>
    <w:basedOn w:val="Heading1"/>
    <w:next w:val="Normal"/>
    <w:uiPriority w:val="39"/>
    <w:unhideWhenUsed/>
    <w:qFormat/>
    <w:rsid w:val="00CE3A67"/>
    <w:pPr>
      <w:spacing w:before="240" w:after="0"/>
      <w:outlineLvl w:val="9"/>
    </w:pPr>
    <w:rPr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CE3A6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E3A67"/>
    <w:rPr>
      <w:color w:val="0563C1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946AE"/>
    <w:pPr>
      <w:spacing w:after="100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3946AE"/>
    <w:pPr>
      <w:spacing w:after="100"/>
      <w:ind w:left="440"/>
    </w:pPr>
    <w:rPr>
      <w:rFonts w:asciiTheme="minorHAnsi" w:eastAsiaTheme="minorEastAsia" w:hAnsiTheme="minorHAnsi" w:cs="Times New Roman"/>
    </w:r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+fyVAVHta+kK/AS95lMWKSmQA==">CgMxLjAyDmgubnNza3Z5eWxjOGtkMg5oLjV5bG40dXUyNWtvZTIOaC5pYjZscjZmZzVwdWIyDmguZHR0dDVxdWg1eG4wMg5oLnRmeWl1N25odG45MzIOaC40bmFkNWdpMGRhcXgyDWgubXNuN3VrNGpuYTUyDWgueGQ1cTB3aDUyMjEyDmguOGV0NmRrNXIza3ByMg5oLm1uc28wcWNiczdhdjIOaC45aXRraWM3eHVzamwyDmgua2F0dW9ibTViZnptOAByITF2QmF3TDZEZi1sWV95ZktmXzd6TVpLNzJ2Z0szdGtG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1863</Words>
  <Characters>10624</Characters>
  <Application>Microsoft Office Word</Application>
  <DocSecurity>0</DocSecurity>
  <Lines>88</Lines>
  <Paragraphs>24</Paragraphs>
  <ScaleCrop>false</ScaleCrop>
  <Company/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 Krnić</dc:creator>
  <cp:lastModifiedBy>Meri Krnić</cp:lastModifiedBy>
  <cp:revision>8</cp:revision>
  <dcterms:created xsi:type="dcterms:W3CDTF">2025-03-05T07:08:00Z</dcterms:created>
  <dcterms:modified xsi:type="dcterms:W3CDTF">2025-12-29T09:00:00Z</dcterms:modified>
</cp:coreProperties>
</file>